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id w:val="-381488166"/>
        <w:docPartObj>
          <w:docPartGallery w:val="Cover Pages"/>
          <w:docPartUnique/>
        </w:docPartObj>
      </w:sdtPr>
      <w:sdtContent>
        <w:p w14:paraId="7E65DB28" w14:textId="1DBDF1A0" w:rsidR="00F730F6" w:rsidRPr="00AF3E0C" w:rsidRDefault="00F730F6"/>
        <w:p w14:paraId="7FCF5B9E" w14:textId="65D0FC50" w:rsidR="00F730F6" w:rsidRPr="00AF3E0C" w:rsidRDefault="00F730F6">
          <w:r w:rsidRPr="00AF3E0C">
            <w:rPr>
              <w:noProof/>
            </w:rPr>
            <mc:AlternateContent>
              <mc:Choice Requires="wps">
                <w:drawing>
                  <wp:anchor distT="0" distB="0" distL="114300" distR="114300" simplePos="0" relativeHeight="251659264" behindDoc="1" locked="0" layoutInCell="1" allowOverlap="1" wp14:anchorId="1D6C7D0E" wp14:editId="14B27C2C">
                    <wp:simplePos x="0" y="0"/>
                    <wp:positionH relativeFrom="column">
                      <wp:posOffset>-542290</wp:posOffset>
                    </wp:positionH>
                    <wp:positionV relativeFrom="paragraph">
                      <wp:posOffset>4552632</wp:posOffset>
                    </wp:positionV>
                    <wp:extent cx="6858000" cy="4086225"/>
                    <wp:effectExtent l="0" t="0" r="0" b="0"/>
                    <wp:wrapNone/>
                    <wp:docPr id="122" name="Zone de texte 122"/>
                    <wp:cNvGraphicFramePr/>
                    <a:graphic xmlns:a="http://schemas.openxmlformats.org/drawingml/2006/main">
                      <a:graphicData uri="http://schemas.microsoft.com/office/word/2010/wordprocessingShape">
                        <wps:wsp>
                          <wps:cNvSpPr txBox="1"/>
                          <wps:spPr>
                            <a:xfrm>
                              <a:off x="0" y="0"/>
                              <a:ext cx="6858000" cy="408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bookmarkStart w:id="0" w:name="_Toc173280258" w:displacedByCustomXml="next"/>
                              <w:sdt>
                                <w:sdtPr>
                                  <w:rPr>
                                    <w:rStyle w:val="1Char"/>
                                    <w:b/>
                                    <w:bCs/>
                                    <w:color w:val="FFFFFF" w:themeColor="background1"/>
                                    <w:sz w:val="80"/>
                                    <w:szCs w:val="80"/>
                                    <w:lang w:val="en-US"/>
                                  </w:rPr>
                                  <w:alias w:val="Titre"/>
                                  <w:tag w:val=""/>
                                  <w:id w:val="-1476986296"/>
                                  <w:dataBinding w:prefixMappings="xmlns:ns0='http://purl.org/dc/elements/1.1/' xmlns:ns1='http://schemas.openxmlformats.org/package/2006/metadata/core-properties' " w:xpath="/ns1:coreProperties[1]/ns0:title[1]" w:storeItemID="{6C3C8BC8-F283-45AE-878A-BAB7291924A1}"/>
                                  <w:text/>
                                </w:sdtPr>
                                <w:sdtContent>
                                  <w:p w14:paraId="298A0E77" w14:textId="013D0210" w:rsidR="00F730F6" w:rsidRPr="00AD4749" w:rsidRDefault="0008473F" w:rsidP="007E153C">
                                    <w:pPr>
                                      <w:pStyle w:val="a5"/>
                                      <w:jc w:val="both"/>
                                      <w:rPr>
                                        <w:rStyle w:val="1Char"/>
                                        <w:color w:val="FFFFFF" w:themeColor="background1"/>
                                        <w:sz w:val="80"/>
                                        <w:szCs w:val="80"/>
                                        <w:lang w:val="en-US"/>
                                      </w:rPr>
                                    </w:pPr>
                                    <w:r w:rsidRPr="00AD4749">
                                      <w:rPr>
                                        <w:rStyle w:val="1Char"/>
                                        <w:b/>
                                        <w:bCs/>
                                        <w:color w:val="FFFFFF" w:themeColor="background1"/>
                                        <w:sz w:val="80"/>
                                        <w:szCs w:val="80"/>
                                        <w:lang w:val="en-US"/>
                                      </w:rPr>
                                      <w:t xml:space="preserve">Water Projects based on Holistic Approach: </w:t>
                                    </w:r>
                                    <w:r w:rsidR="00EA49B0">
                                      <w:rPr>
                                        <w:rStyle w:val="1Char"/>
                                        <w:b/>
                                        <w:bCs/>
                                        <w:color w:val="FFFFFF" w:themeColor="background1"/>
                                        <w:sz w:val="80"/>
                                        <w:szCs w:val="80"/>
                                        <w:lang w:val="en-US"/>
                                      </w:rPr>
                                      <w:t xml:space="preserve">Guidance on Simplified Cost Options </w:t>
                                    </w:r>
                                  </w:p>
                                </w:sdtContent>
                              </w:sdt>
                              <w:bookmarkEnd w:id="0" w:displacedByCustomXml="prev"/>
                              <w:sdt>
                                <w:sdtPr>
                                  <w:rPr>
                                    <w:caps/>
                                    <w:color w:val="FFFFFF" w:themeColor="background1"/>
                                    <w:sz w:val="36"/>
                                    <w:szCs w:val="36"/>
                                    <w:lang w:val="el-GR"/>
                                  </w:rPr>
                                  <w:alias w:val="Sous-titre"/>
                                  <w:tag w:val=""/>
                                  <w:id w:val="157346227"/>
                                  <w:dataBinding w:prefixMappings="xmlns:ns0='http://purl.org/dc/elements/1.1/' xmlns:ns1='http://schemas.openxmlformats.org/package/2006/metadata/core-properties' " w:xpath="/ns1:coreProperties[1]/ns0:subject[1]" w:storeItemID="{6C3C8BC8-F283-45AE-878A-BAB7291924A1}"/>
                                  <w:text/>
                                </w:sdtPr>
                                <w:sdtContent>
                                  <w:p w14:paraId="3B6322F8" w14:textId="6E1E0DFC" w:rsidR="001528AC" w:rsidRPr="00F42BF9" w:rsidRDefault="00BE75F4" w:rsidP="00F42BF9">
                                    <w:pPr>
                                      <w:pStyle w:val="a5"/>
                                      <w:spacing w:before="240"/>
                                      <w:rPr>
                                        <w:caps/>
                                        <w:color w:val="FFFFFF" w:themeColor="background1"/>
                                        <w:sz w:val="36"/>
                                        <w:szCs w:val="36"/>
                                        <w:lang w:val="el-GR"/>
                                      </w:rPr>
                                    </w:pPr>
                                    <w:r w:rsidRPr="00F42BF9">
                                      <w:rPr>
                                        <w:caps/>
                                        <w:color w:val="FFFFFF" w:themeColor="background1"/>
                                        <w:sz w:val="36"/>
                                        <w:szCs w:val="36"/>
                                        <w:lang w:val="el-GR"/>
                                      </w:rPr>
                                      <w:t>Ju</w:t>
                                    </w:r>
                                    <w:r w:rsidR="0008473F" w:rsidRPr="00F42BF9">
                                      <w:rPr>
                                        <w:caps/>
                                        <w:color w:val="FFFFFF" w:themeColor="background1"/>
                                        <w:sz w:val="36"/>
                                        <w:szCs w:val="36"/>
                                        <w:lang w:val="el-GR"/>
                                      </w:rPr>
                                      <w:t>ly</w:t>
                                    </w:r>
                                    <w:r w:rsidRPr="00F42BF9">
                                      <w:rPr>
                                        <w:caps/>
                                        <w:color w:val="FFFFFF" w:themeColor="background1"/>
                                        <w:sz w:val="36"/>
                                        <w:szCs w:val="36"/>
                                        <w:lang w:val="el-GR"/>
                                      </w:rPr>
                                      <w:t xml:space="preserve"> </w:t>
                                    </w:r>
                                    <w:r w:rsidR="00EA49B0">
                                      <w:rPr>
                                        <w:caps/>
                                        <w:color w:val="FFFFFF" w:themeColor="background1"/>
                                        <w:sz w:val="36"/>
                                        <w:szCs w:val="36"/>
                                        <w:lang w:val="en-US"/>
                                      </w:rPr>
                                      <w:t>31</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D6C7D0E" id="_x0000_t202" coordsize="21600,21600" o:spt="202" path="m,l,21600r21600,l21600,xe">
                    <v:stroke joinstyle="miter"/>
                    <v:path gradientshapeok="t" o:connecttype="rect"/>
                  </v:shapetype>
                  <v:shape id="Zone de texte 122" o:spid="_x0000_s1026" type="#_x0000_t202" style="position:absolute;left:0;text-align:left;margin-left:-42.7pt;margin-top:358.45pt;width:540pt;height:321.7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" filled="f" stroked="f" strokeweight=".5pt">
                    <v:textbox inset="36pt,36pt,36pt,36pt">
                      <w:txbxContent>
                        <w:bookmarkStart w:id="1" w:name="_Toc173280258" w:displacedByCustomXml="next"/>
                        <w:sdt>
                          <w:sdtPr>
                            <w:rPr>
                              <w:rStyle w:val="1Char"/>
                              <w:b/>
                              <w:bCs/>
                              <w:color w:val="FFFFFF" w:themeColor="background1"/>
                              <w:sz w:val="80"/>
                              <w:szCs w:val="80"/>
                              <w:lang w:val="en-US"/>
                            </w:rPr>
                            <w:alias w:val="Titre"/>
                            <w:tag w:val=""/>
                            <w:id w:val="-1476986296"/>
                            <w:dataBinding w:prefixMappings="xmlns:ns0='http://purl.org/dc/elements/1.1/' xmlns:ns1='http://schemas.openxmlformats.org/package/2006/metadata/core-properties' " w:xpath="/ns1:coreProperties[1]/ns0:title[1]" w:storeItemID="{6C3C8BC8-F283-45AE-878A-BAB7291924A1}"/>
                            <w:text/>
                          </w:sdtPr>
                          <w:sdtContent>
                            <w:p w14:paraId="298A0E77" w14:textId="013D0210" w:rsidR="00F730F6" w:rsidRPr="00AD4749" w:rsidRDefault="0008473F" w:rsidP="007E153C">
                              <w:pPr>
                                <w:pStyle w:val="a5"/>
                                <w:jc w:val="both"/>
                                <w:rPr>
                                  <w:rStyle w:val="1Char"/>
                                  <w:color w:val="FFFFFF" w:themeColor="background1"/>
                                  <w:sz w:val="80"/>
                                  <w:szCs w:val="80"/>
                                  <w:lang w:val="en-US"/>
                                </w:rPr>
                              </w:pPr>
                              <w:r w:rsidRPr="00AD4749">
                                <w:rPr>
                                  <w:rStyle w:val="1Char"/>
                                  <w:b/>
                                  <w:bCs/>
                                  <w:color w:val="FFFFFF" w:themeColor="background1"/>
                                  <w:sz w:val="80"/>
                                  <w:szCs w:val="80"/>
                                  <w:lang w:val="en-US"/>
                                </w:rPr>
                                <w:t xml:space="preserve">Water Projects based on Holistic Approach: </w:t>
                              </w:r>
                              <w:r w:rsidR="00EA49B0">
                                <w:rPr>
                                  <w:rStyle w:val="1Char"/>
                                  <w:b/>
                                  <w:bCs/>
                                  <w:color w:val="FFFFFF" w:themeColor="background1"/>
                                  <w:sz w:val="80"/>
                                  <w:szCs w:val="80"/>
                                  <w:lang w:val="en-US"/>
                                </w:rPr>
                                <w:t xml:space="preserve">Guidance on Simplified Cost Options </w:t>
                              </w:r>
                            </w:p>
                          </w:sdtContent>
                        </w:sdt>
                        <w:bookmarkEnd w:id="1" w:displacedByCustomXml="prev"/>
                        <w:sdt>
                          <w:sdtPr>
                            <w:rPr>
                              <w:caps/>
                              <w:color w:val="FFFFFF" w:themeColor="background1"/>
                              <w:sz w:val="36"/>
                              <w:szCs w:val="36"/>
                              <w:lang w:val="el-GR"/>
                            </w:rPr>
                            <w:alias w:val="Sous-titre"/>
                            <w:tag w:val=""/>
                            <w:id w:val="157346227"/>
                            <w:dataBinding w:prefixMappings="xmlns:ns0='http://purl.org/dc/elements/1.1/' xmlns:ns1='http://schemas.openxmlformats.org/package/2006/metadata/core-properties' " w:xpath="/ns1:coreProperties[1]/ns0:subject[1]" w:storeItemID="{6C3C8BC8-F283-45AE-878A-BAB7291924A1}"/>
                            <w:text/>
                          </w:sdtPr>
                          <w:sdtContent>
                            <w:p w14:paraId="3B6322F8" w14:textId="6E1E0DFC" w:rsidR="001528AC" w:rsidRPr="00F42BF9" w:rsidRDefault="00BE75F4" w:rsidP="00F42BF9">
                              <w:pPr>
                                <w:pStyle w:val="a5"/>
                                <w:spacing w:before="240"/>
                                <w:rPr>
                                  <w:caps/>
                                  <w:color w:val="FFFFFF" w:themeColor="background1"/>
                                  <w:sz w:val="36"/>
                                  <w:szCs w:val="36"/>
                                  <w:lang w:val="el-GR"/>
                                </w:rPr>
                              </w:pPr>
                              <w:r w:rsidRPr="00F42BF9">
                                <w:rPr>
                                  <w:caps/>
                                  <w:color w:val="FFFFFF" w:themeColor="background1"/>
                                  <w:sz w:val="36"/>
                                  <w:szCs w:val="36"/>
                                  <w:lang w:val="el-GR"/>
                                </w:rPr>
                                <w:t>Ju</w:t>
                              </w:r>
                              <w:r w:rsidR="0008473F" w:rsidRPr="00F42BF9">
                                <w:rPr>
                                  <w:caps/>
                                  <w:color w:val="FFFFFF" w:themeColor="background1"/>
                                  <w:sz w:val="36"/>
                                  <w:szCs w:val="36"/>
                                  <w:lang w:val="el-GR"/>
                                </w:rPr>
                                <w:t>ly</w:t>
                              </w:r>
                              <w:r w:rsidRPr="00F42BF9">
                                <w:rPr>
                                  <w:caps/>
                                  <w:color w:val="FFFFFF" w:themeColor="background1"/>
                                  <w:sz w:val="36"/>
                                  <w:szCs w:val="36"/>
                                  <w:lang w:val="el-GR"/>
                                </w:rPr>
                                <w:t xml:space="preserve"> </w:t>
                              </w:r>
                              <w:r w:rsidR="00EA49B0">
                                <w:rPr>
                                  <w:caps/>
                                  <w:color w:val="FFFFFF" w:themeColor="background1"/>
                                  <w:sz w:val="36"/>
                                  <w:szCs w:val="36"/>
                                  <w:lang w:val="en-US"/>
                                </w:rPr>
                                <w:t>31</w:t>
                              </w:r>
                            </w:p>
                          </w:sdtContent>
                        </w:sdt>
                      </w:txbxContent>
                    </v:textbox>
                  </v:shape>
                </w:pict>
              </mc:Fallback>
            </mc:AlternateContent>
          </w:r>
          <w:r w:rsidRPr="00AF3E0C">
            <w:br w:type="page"/>
          </w:r>
        </w:p>
      </w:sdtContent>
    </w:sdt>
    <w:sdt>
      <w:sdtPr>
        <w:rPr>
          <w:rFonts w:asciiTheme="minorHAnsi" w:eastAsiaTheme="minorHAnsi" w:hAnsiTheme="minorHAnsi" w:cstheme="minorBidi"/>
          <w:color w:val="auto"/>
          <w:sz w:val="20"/>
          <w:szCs w:val="22"/>
          <w:lang w:val="el-GR" w:eastAsia="en-US"/>
        </w:rPr>
        <w:id w:val="593288092"/>
        <w:docPartObj>
          <w:docPartGallery w:val="Table of Contents"/>
          <w:docPartUnique/>
        </w:docPartObj>
      </w:sdtPr>
      <w:sdtEndPr>
        <w:rPr>
          <w:b/>
          <w:bCs/>
        </w:rPr>
      </w:sdtEndPr>
      <w:sdtContent>
        <w:p w14:paraId="307CF147" w14:textId="797BD50A" w:rsidR="002C030C" w:rsidRPr="00AF3E0C" w:rsidRDefault="004910BD" w:rsidP="00EF6479">
          <w:pPr>
            <w:pStyle w:val="ac"/>
            <w:rPr>
              <w:lang w:val="el-GR"/>
            </w:rPr>
          </w:pPr>
          <w:r w:rsidRPr="00AF3E0C">
            <w:rPr>
              <w:lang w:val="el-GR"/>
            </w:rPr>
            <w:t>Πίνακας Περιεχομένων</w:t>
          </w:r>
        </w:p>
        <w:p w14:paraId="15DC86AE" w14:textId="392038C9" w:rsidR="00F00094" w:rsidRDefault="002C030C">
          <w:pPr>
            <w:pStyle w:val="10"/>
            <w:tabs>
              <w:tab w:val="right" w:leader="dot" w:pos="9062"/>
            </w:tabs>
            <w:rPr>
              <w:rFonts w:eastAsiaTheme="minorEastAsia"/>
              <w:b w:val="0"/>
              <w:bCs w:val="0"/>
              <w:noProof/>
              <w:kern w:val="2"/>
              <w:sz w:val="22"/>
              <w:szCs w:val="22"/>
              <w:lang w:eastAsia="el-GR"/>
              <w14:ligatures w14:val="standardContextual"/>
            </w:rPr>
          </w:pPr>
          <w:r w:rsidRPr="00AF3E0C">
            <w:rPr>
              <w:b w:val="0"/>
              <w:bCs w:val="0"/>
            </w:rPr>
            <w:fldChar w:fldCharType="begin"/>
          </w:r>
          <w:r w:rsidRPr="00AF3E0C">
            <w:instrText>TOC \o "1-3" \h \z \u</w:instrText>
          </w:r>
          <w:r w:rsidRPr="00AF3E0C">
            <w:rPr>
              <w:b w:val="0"/>
              <w:bCs w:val="0"/>
            </w:rPr>
            <w:fldChar w:fldCharType="separate"/>
          </w:r>
          <w:hyperlink w:anchor="_Toc173280258" w:history="1">
            <w:r w:rsidR="00F00094" w:rsidRPr="0045607A">
              <w:rPr>
                <w:rStyle w:val="-"/>
                <w:noProof/>
                <w:lang w:val="en-US"/>
              </w:rPr>
              <w:t xml:space="preserve">Water Projects based on Holistic Approach: Guidance on Simplified Cost Options </w:t>
            </w:r>
            <w:r w:rsidR="00F00094">
              <w:rPr>
                <w:noProof/>
                <w:webHidden/>
              </w:rPr>
              <w:tab/>
            </w:r>
            <w:r w:rsidR="00F00094">
              <w:rPr>
                <w:noProof/>
                <w:webHidden/>
              </w:rPr>
              <w:fldChar w:fldCharType="begin"/>
            </w:r>
            <w:r w:rsidR="00F00094">
              <w:rPr>
                <w:noProof/>
                <w:webHidden/>
              </w:rPr>
              <w:instrText xml:space="preserve"> PAGEREF _Toc173280258 \h </w:instrText>
            </w:r>
            <w:r w:rsidR="00F00094">
              <w:rPr>
                <w:noProof/>
                <w:webHidden/>
              </w:rPr>
            </w:r>
            <w:r w:rsidR="00F00094">
              <w:rPr>
                <w:noProof/>
                <w:webHidden/>
              </w:rPr>
              <w:fldChar w:fldCharType="separate"/>
            </w:r>
            <w:r w:rsidR="00F00094">
              <w:rPr>
                <w:noProof/>
                <w:webHidden/>
              </w:rPr>
              <w:t>0</w:t>
            </w:r>
            <w:r w:rsidR="00F00094">
              <w:rPr>
                <w:noProof/>
                <w:webHidden/>
              </w:rPr>
              <w:fldChar w:fldCharType="end"/>
            </w:r>
          </w:hyperlink>
        </w:p>
        <w:p w14:paraId="4827803A" w14:textId="20BCB7F7" w:rsidR="00F00094" w:rsidRDefault="00F00094">
          <w:pPr>
            <w:pStyle w:val="10"/>
            <w:tabs>
              <w:tab w:val="right" w:leader="dot" w:pos="9062"/>
            </w:tabs>
            <w:rPr>
              <w:rFonts w:eastAsiaTheme="minorEastAsia"/>
              <w:b w:val="0"/>
              <w:bCs w:val="0"/>
              <w:noProof/>
              <w:kern w:val="2"/>
              <w:sz w:val="22"/>
              <w:szCs w:val="22"/>
              <w:lang w:eastAsia="el-GR"/>
              <w14:ligatures w14:val="standardContextual"/>
            </w:rPr>
          </w:pPr>
          <w:hyperlink w:anchor="_Toc173280259" w:history="1">
            <w:r w:rsidRPr="0045607A">
              <w:rPr>
                <w:rStyle w:val="-"/>
                <w:noProof/>
              </w:rPr>
              <w:t>1 Επιλογές Απλοποιημένου Κόστους</w:t>
            </w:r>
            <w:r>
              <w:rPr>
                <w:noProof/>
                <w:webHidden/>
              </w:rPr>
              <w:tab/>
            </w:r>
            <w:r>
              <w:rPr>
                <w:noProof/>
                <w:webHidden/>
              </w:rPr>
              <w:fldChar w:fldCharType="begin"/>
            </w:r>
            <w:r>
              <w:rPr>
                <w:noProof/>
                <w:webHidden/>
              </w:rPr>
              <w:instrText xml:space="preserve"> PAGEREF _Toc173280259 \h </w:instrText>
            </w:r>
            <w:r>
              <w:rPr>
                <w:noProof/>
                <w:webHidden/>
              </w:rPr>
            </w:r>
            <w:r>
              <w:rPr>
                <w:noProof/>
                <w:webHidden/>
              </w:rPr>
              <w:fldChar w:fldCharType="separate"/>
            </w:r>
            <w:r>
              <w:rPr>
                <w:noProof/>
                <w:webHidden/>
              </w:rPr>
              <w:t>1</w:t>
            </w:r>
            <w:r>
              <w:rPr>
                <w:noProof/>
                <w:webHidden/>
              </w:rPr>
              <w:fldChar w:fldCharType="end"/>
            </w:r>
          </w:hyperlink>
        </w:p>
        <w:p w14:paraId="2E6F01B2" w14:textId="78EFD83F" w:rsidR="00F00094" w:rsidRDefault="00F00094">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3280260" w:history="1">
            <w:r w:rsidRPr="0045607A">
              <w:rPr>
                <w:rStyle w:val="-"/>
                <w:lang w:val="el-GR"/>
              </w:rPr>
              <w:t>1.1 Τι είναι οι Επιλογές Απλοποιημένου Κόστους;</w:t>
            </w:r>
            <w:r>
              <w:rPr>
                <w:webHidden/>
              </w:rPr>
              <w:tab/>
            </w:r>
            <w:r>
              <w:rPr>
                <w:webHidden/>
              </w:rPr>
              <w:fldChar w:fldCharType="begin"/>
            </w:r>
            <w:r>
              <w:rPr>
                <w:webHidden/>
              </w:rPr>
              <w:instrText xml:space="preserve"> PAGEREF _Toc173280260 \h </w:instrText>
            </w:r>
            <w:r>
              <w:rPr>
                <w:webHidden/>
              </w:rPr>
            </w:r>
            <w:r>
              <w:rPr>
                <w:webHidden/>
              </w:rPr>
              <w:fldChar w:fldCharType="separate"/>
            </w:r>
            <w:r>
              <w:rPr>
                <w:webHidden/>
              </w:rPr>
              <w:t>1</w:t>
            </w:r>
            <w:r>
              <w:rPr>
                <w:webHidden/>
              </w:rPr>
              <w:fldChar w:fldCharType="end"/>
            </w:r>
          </w:hyperlink>
        </w:p>
        <w:p w14:paraId="73A0CE38" w14:textId="59F4ABEF" w:rsidR="00F00094" w:rsidRDefault="00F00094">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3280261" w:history="1">
            <w:r w:rsidRPr="0045607A">
              <w:rPr>
                <w:rStyle w:val="-"/>
                <w:lang w:val="el-GR"/>
              </w:rPr>
              <w:t>1.2 νομικο πλαισιο και σχετικα εγγραφα</w:t>
            </w:r>
            <w:r>
              <w:rPr>
                <w:webHidden/>
              </w:rPr>
              <w:tab/>
            </w:r>
            <w:r>
              <w:rPr>
                <w:webHidden/>
              </w:rPr>
              <w:fldChar w:fldCharType="begin"/>
            </w:r>
            <w:r>
              <w:rPr>
                <w:webHidden/>
              </w:rPr>
              <w:instrText xml:space="preserve"> PAGEREF _Toc173280261 \h </w:instrText>
            </w:r>
            <w:r>
              <w:rPr>
                <w:webHidden/>
              </w:rPr>
            </w:r>
            <w:r>
              <w:rPr>
                <w:webHidden/>
              </w:rPr>
              <w:fldChar w:fldCharType="separate"/>
            </w:r>
            <w:r>
              <w:rPr>
                <w:webHidden/>
              </w:rPr>
              <w:t>1</w:t>
            </w:r>
            <w:r>
              <w:rPr>
                <w:webHidden/>
              </w:rPr>
              <w:fldChar w:fldCharType="end"/>
            </w:r>
          </w:hyperlink>
        </w:p>
        <w:p w14:paraId="7B144243" w14:textId="613ED9B9" w:rsidR="00F00094" w:rsidRDefault="00F00094">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3280262" w:history="1">
            <w:r w:rsidRPr="0045607A">
              <w:rPr>
                <w:rStyle w:val="-"/>
                <w:lang w:val="el-GR"/>
              </w:rPr>
              <w:t>1.3 ΤΥΠΟΙ ΕπιλογΩΝ Απλοποιημένου Κόστους</w:t>
            </w:r>
            <w:r>
              <w:rPr>
                <w:webHidden/>
              </w:rPr>
              <w:tab/>
            </w:r>
            <w:r>
              <w:rPr>
                <w:webHidden/>
              </w:rPr>
              <w:fldChar w:fldCharType="begin"/>
            </w:r>
            <w:r>
              <w:rPr>
                <w:webHidden/>
              </w:rPr>
              <w:instrText xml:space="preserve"> PAGEREF _Toc173280262 \h </w:instrText>
            </w:r>
            <w:r>
              <w:rPr>
                <w:webHidden/>
              </w:rPr>
            </w:r>
            <w:r>
              <w:rPr>
                <w:webHidden/>
              </w:rPr>
              <w:fldChar w:fldCharType="separate"/>
            </w:r>
            <w:r>
              <w:rPr>
                <w:webHidden/>
              </w:rPr>
              <w:t>2</w:t>
            </w:r>
            <w:r>
              <w:rPr>
                <w:webHidden/>
              </w:rPr>
              <w:fldChar w:fldCharType="end"/>
            </w:r>
          </w:hyperlink>
        </w:p>
        <w:p w14:paraId="533EF15C" w14:textId="0B250B22" w:rsidR="00F00094" w:rsidRDefault="00F00094">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3280263" w:history="1">
            <w:r w:rsidRPr="0045607A">
              <w:rPr>
                <w:rStyle w:val="-"/>
                <w:lang w:val="el-GR"/>
              </w:rPr>
              <w:t>1.4 Γενικά κριτήρια για τη δυνατότητα εφαρμογής των ΕπιλογΩΝ Απλοποιημένου Κόστους</w:t>
            </w:r>
            <w:r>
              <w:rPr>
                <w:webHidden/>
              </w:rPr>
              <w:tab/>
            </w:r>
            <w:r>
              <w:rPr>
                <w:webHidden/>
              </w:rPr>
              <w:fldChar w:fldCharType="begin"/>
            </w:r>
            <w:r>
              <w:rPr>
                <w:webHidden/>
              </w:rPr>
              <w:instrText xml:space="preserve"> PAGEREF _Toc173280263 \h </w:instrText>
            </w:r>
            <w:r>
              <w:rPr>
                <w:webHidden/>
              </w:rPr>
            </w:r>
            <w:r>
              <w:rPr>
                <w:webHidden/>
              </w:rPr>
              <w:fldChar w:fldCharType="separate"/>
            </w:r>
            <w:r>
              <w:rPr>
                <w:webHidden/>
              </w:rPr>
              <w:t>4</w:t>
            </w:r>
            <w:r>
              <w:rPr>
                <w:webHidden/>
              </w:rPr>
              <w:fldChar w:fldCharType="end"/>
            </w:r>
          </w:hyperlink>
        </w:p>
        <w:p w14:paraId="30BE3B5A" w14:textId="7F3B206C" w:rsidR="00F00094" w:rsidRDefault="00F00094">
          <w:pPr>
            <w:pStyle w:val="21"/>
            <w:rPr>
              <w:rFonts w:asciiTheme="minorHAnsi" w:eastAsiaTheme="minorEastAsia" w:hAnsiTheme="minorHAnsi"/>
              <w:bCs w:val="0"/>
              <w:iCs w:val="0"/>
              <w:color w:val="auto"/>
              <w:kern w:val="2"/>
              <w:sz w:val="22"/>
              <w:szCs w:val="22"/>
              <w:lang w:val="el-GR" w:eastAsia="el-GR"/>
              <w14:ligatures w14:val="standardContextual"/>
            </w:rPr>
          </w:pPr>
          <w:hyperlink w:anchor="_Toc173280264" w:history="1">
            <w:r w:rsidRPr="0045607A">
              <w:rPr>
                <w:rStyle w:val="-"/>
                <w:lang w:val="el-GR"/>
              </w:rPr>
              <w:t>1.5 εφαρμογή των ΕπιλογΩΝ Απλοποιημένου Κόστους ΣΤΟ ΕΤΠΑ και στο ΠΕΠ ΑΜΘ</w:t>
            </w:r>
            <w:r>
              <w:rPr>
                <w:webHidden/>
              </w:rPr>
              <w:tab/>
            </w:r>
            <w:r>
              <w:rPr>
                <w:webHidden/>
              </w:rPr>
              <w:fldChar w:fldCharType="begin"/>
            </w:r>
            <w:r>
              <w:rPr>
                <w:webHidden/>
              </w:rPr>
              <w:instrText xml:space="preserve"> PAGEREF _Toc173280264 \h </w:instrText>
            </w:r>
            <w:r>
              <w:rPr>
                <w:webHidden/>
              </w:rPr>
            </w:r>
            <w:r>
              <w:rPr>
                <w:webHidden/>
              </w:rPr>
              <w:fldChar w:fldCharType="separate"/>
            </w:r>
            <w:r>
              <w:rPr>
                <w:webHidden/>
              </w:rPr>
              <w:t>5</w:t>
            </w:r>
            <w:r>
              <w:rPr>
                <w:webHidden/>
              </w:rPr>
              <w:fldChar w:fldCharType="end"/>
            </w:r>
          </w:hyperlink>
        </w:p>
        <w:p w14:paraId="44410C35" w14:textId="0CF7B8E0" w:rsidR="002C030C" w:rsidRPr="00AF3E0C" w:rsidRDefault="002C030C">
          <w:r w:rsidRPr="00AF3E0C">
            <w:rPr>
              <w:b/>
              <w:bCs/>
            </w:rPr>
            <w:fldChar w:fldCharType="end"/>
          </w:r>
        </w:p>
      </w:sdtContent>
    </w:sdt>
    <w:p w14:paraId="483EDA3D" w14:textId="1E52506B" w:rsidR="00780C62" w:rsidRPr="00AF3E0C" w:rsidRDefault="00780C62"/>
    <w:p w14:paraId="0A0DAA52" w14:textId="74474E41" w:rsidR="00F730F6" w:rsidRPr="00AF3E0C" w:rsidRDefault="00F730F6" w:rsidP="00780C62"/>
    <w:p w14:paraId="6E92134A" w14:textId="77777777" w:rsidR="00805CDF" w:rsidRPr="00AF3E0C" w:rsidRDefault="00805CDF" w:rsidP="00780C62"/>
    <w:p w14:paraId="064C3697" w14:textId="77777777" w:rsidR="00C96166" w:rsidRPr="00AF3E0C" w:rsidRDefault="00C96166" w:rsidP="00780C62"/>
    <w:p w14:paraId="44DEED64" w14:textId="77777777" w:rsidR="0008473F" w:rsidRPr="00AF3E0C" w:rsidRDefault="0008473F" w:rsidP="0008473F"/>
    <w:p w14:paraId="117C3038" w14:textId="77777777" w:rsidR="0008473F" w:rsidRPr="00AF3E0C" w:rsidRDefault="0008473F" w:rsidP="0008473F"/>
    <w:p w14:paraId="4CD838F8" w14:textId="77777777" w:rsidR="0008473F" w:rsidRPr="00AF3E0C" w:rsidRDefault="0008473F" w:rsidP="0008473F"/>
    <w:p w14:paraId="29BE3C6B" w14:textId="77777777" w:rsidR="0008473F" w:rsidRPr="00AF3E0C" w:rsidRDefault="0008473F" w:rsidP="0008473F"/>
    <w:p w14:paraId="37DBD052" w14:textId="77777777" w:rsidR="0008473F" w:rsidRPr="00AF3E0C" w:rsidRDefault="0008473F" w:rsidP="0008473F"/>
    <w:p w14:paraId="00B94606" w14:textId="77777777" w:rsidR="0008473F" w:rsidRPr="00AF3E0C" w:rsidRDefault="0008473F" w:rsidP="0008473F"/>
    <w:p w14:paraId="07688FEA" w14:textId="77777777" w:rsidR="0008473F" w:rsidRPr="00AF3E0C" w:rsidRDefault="0008473F" w:rsidP="0008473F"/>
    <w:p w14:paraId="48C9645D" w14:textId="77777777" w:rsidR="0008473F" w:rsidRPr="00AF3E0C" w:rsidRDefault="0008473F" w:rsidP="0008473F"/>
    <w:p w14:paraId="5C61CF0C" w14:textId="074E2285" w:rsidR="0008473F" w:rsidRPr="00AF3E0C" w:rsidRDefault="0008473F" w:rsidP="0008473F">
      <w:pPr>
        <w:tabs>
          <w:tab w:val="left" w:pos="3792"/>
        </w:tabs>
      </w:pPr>
      <w:r w:rsidRPr="00AF3E0C">
        <w:tab/>
      </w:r>
    </w:p>
    <w:p w14:paraId="015B1F0D" w14:textId="77777777" w:rsidR="0008473F" w:rsidRPr="00AF3E0C" w:rsidRDefault="0008473F" w:rsidP="0008473F"/>
    <w:p w14:paraId="75B90C5B" w14:textId="42EC9B46" w:rsidR="0008473F" w:rsidRPr="00AF3E0C" w:rsidRDefault="0008473F" w:rsidP="0008473F">
      <w:pPr>
        <w:sectPr w:rsidR="0008473F" w:rsidRPr="00AF3E0C" w:rsidSect="00F730F6">
          <w:headerReference w:type="default" r:id="rId11"/>
          <w:footerReference w:type="even" r:id="rId12"/>
          <w:headerReference w:type="first" r:id="rId13"/>
          <w:pgSz w:w="11906" w:h="16838"/>
          <w:pgMar w:top="1525" w:right="1417" w:bottom="1134" w:left="1417" w:header="708" w:footer="708" w:gutter="0"/>
          <w:pgNumType w:start="0"/>
          <w:cols w:space="708"/>
          <w:titlePg/>
          <w:docGrid w:linePitch="360"/>
        </w:sectPr>
      </w:pPr>
    </w:p>
    <w:p w14:paraId="78FC0408" w14:textId="0CE96A75" w:rsidR="005754AB" w:rsidRDefault="005754AB" w:rsidP="0002060E">
      <w:pPr>
        <w:pStyle w:val="1"/>
      </w:pPr>
    </w:p>
    <w:p w14:paraId="15635193" w14:textId="4BC5B8DD" w:rsidR="00A651BA" w:rsidRPr="00AD4749" w:rsidRDefault="005754AB" w:rsidP="0002060E">
      <w:pPr>
        <w:pStyle w:val="1"/>
      </w:pPr>
      <w:bookmarkStart w:id="2" w:name="_Toc173280259"/>
      <w:r>
        <w:lastRenderedPageBreak/>
        <w:t xml:space="preserve">1 </w:t>
      </w:r>
      <w:r w:rsidR="00AD4749" w:rsidRPr="00AD4749">
        <w:t>Επιλογ</w:t>
      </w:r>
      <w:r w:rsidR="00AD4749">
        <w:t>ές</w:t>
      </w:r>
      <w:r w:rsidR="00AD4749" w:rsidRPr="00AD4749">
        <w:t xml:space="preserve"> Απλοποιημένου Κόστους</w:t>
      </w:r>
      <w:bookmarkEnd w:id="2"/>
    </w:p>
    <w:p w14:paraId="7C066ED7" w14:textId="5A78BA75" w:rsidR="00944487" w:rsidRDefault="00C060EF" w:rsidP="003C5AD2">
      <w:pPr>
        <w:pStyle w:val="20"/>
        <w:jc w:val="both"/>
        <w:rPr>
          <w:lang w:val="el-GR"/>
        </w:rPr>
      </w:pPr>
      <w:bookmarkStart w:id="3" w:name="_Toc173280260"/>
      <w:r w:rsidRPr="00AF3E0C">
        <w:rPr>
          <w:lang w:val="el-GR"/>
        </w:rPr>
        <w:t>1</w:t>
      </w:r>
      <w:r w:rsidR="00BC631F" w:rsidRPr="00AF3E0C">
        <w:rPr>
          <w:lang w:val="el-GR"/>
        </w:rPr>
        <w:t>.1</w:t>
      </w:r>
      <w:r w:rsidR="00AD4749">
        <w:rPr>
          <w:lang w:val="el-GR"/>
        </w:rPr>
        <w:t xml:space="preserve"> Τι είναι οι </w:t>
      </w:r>
      <w:r w:rsidR="00AD4749" w:rsidRPr="00AD4749">
        <w:rPr>
          <w:lang w:val="el-GR"/>
        </w:rPr>
        <w:t>Επιλογές Απλοποιημένου Κόστους</w:t>
      </w:r>
      <w:r w:rsidR="00AD4749">
        <w:rPr>
          <w:lang w:val="el-GR"/>
        </w:rPr>
        <w:t>;</w:t>
      </w:r>
      <w:bookmarkEnd w:id="3"/>
    </w:p>
    <w:p w14:paraId="0C43FEF9" w14:textId="77777777" w:rsidR="00AD4749" w:rsidRDefault="00AD4749" w:rsidP="00AD4749"/>
    <w:p w14:paraId="001B8BF3" w14:textId="4F542E8B" w:rsidR="00AD4749" w:rsidRDefault="00AD4749" w:rsidP="00AD4749">
      <w:r>
        <w:t xml:space="preserve">Οι </w:t>
      </w:r>
      <w:r w:rsidRPr="00AD4749">
        <w:t>Επιλογές Απλοποιημένου Κόστους</w:t>
      </w:r>
      <w:r>
        <w:t xml:space="preserve"> είναι μέτρο απλούστευσης της υλοποίησης έργων και προγραμμάτων μέσω της μείωσης του φόρτου εργασίας για την διαχείριση και την επαλήθευση δαπανών καθώς και μέσω της μείωσης της πιθανότητας σφάλματος.</w:t>
      </w:r>
    </w:p>
    <w:p w14:paraId="69631CB7" w14:textId="28F5561A" w:rsidR="00860398" w:rsidRDefault="00860398" w:rsidP="00AD4749">
      <w:r>
        <w:t xml:space="preserve">Με απλά λόγια, οι </w:t>
      </w:r>
      <w:r w:rsidRPr="00AD4749">
        <w:t>Επιλογές Απλοποιημένου Κόστους</w:t>
      </w:r>
      <w:r>
        <w:t xml:space="preserve"> είναι μια «νέα» μέθοδος καθορισμού των επιλέξιμων δαπανών των πράξεων που συγχρηματοδοτούνται από τα ΕΔΕΤ, όχι βάσει της  «παραδοσιακής» μεθοδου καταγραφής και επαλήθευσης δαπανών που όντως πραγματοποιήθηκαν, αλλά βάσει μιας προκαθορισμένης μεθοδολογίας και δια της επαλήθευσης εκροών και αποτελεσμάτων. </w:t>
      </w:r>
    </w:p>
    <w:p w14:paraId="53CFC797" w14:textId="2A5B8609" w:rsidR="00AD4749" w:rsidRPr="00AD4749" w:rsidRDefault="00AD4749" w:rsidP="00AD4749">
      <w:pPr>
        <w:pStyle w:val="20"/>
        <w:jc w:val="both"/>
        <w:rPr>
          <w:lang w:val="el-GR"/>
        </w:rPr>
      </w:pPr>
      <w:bookmarkStart w:id="4" w:name="_Toc173280261"/>
      <w:r w:rsidRPr="00AF3E0C">
        <w:rPr>
          <w:lang w:val="el-GR"/>
        </w:rPr>
        <w:t>1.</w:t>
      </w:r>
      <w:r w:rsidR="00860398">
        <w:rPr>
          <w:lang w:val="el-GR"/>
        </w:rPr>
        <w:t>2</w:t>
      </w:r>
      <w:r>
        <w:rPr>
          <w:lang w:val="el-GR"/>
        </w:rPr>
        <w:t xml:space="preserve"> νομικο πλαισιο και σχετικα εγγραφα</w:t>
      </w:r>
      <w:bookmarkEnd w:id="4"/>
    </w:p>
    <w:p w14:paraId="0B69236D" w14:textId="77777777" w:rsidR="00860398" w:rsidRDefault="00AD4749" w:rsidP="00AD4749">
      <w:r>
        <w:t xml:space="preserve">Το νομικό πλαίσιο για τις </w:t>
      </w:r>
      <w:r w:rsidR="0046416E" w:rsidRPr="00AD4749">
        <w:t>Επιλογές Απλοποιημένου Κόστους</w:t>
      </w:r>
      <w:r w:rsidR="0046416E">
        <w:t xml:space="preserve"> </w:t>
      </w:r>
      <w:r>
        <w:t>κατά την περίοδο προγραμματισμού 2021-2027 καθορίζεται στον κανονισμό περί κοινών διατάξεων (ΚΚΔ) 2021/1060 για τα Ευρωπαϊκά Διαρθρωτικά και Επενδυτικά Ταμεία (ΕΔΕΤ)</w:t>
      </w:r>
      <w:r w:rsidR="00860398">
        <w:t xml:space="preserve"> και ε</w:t>
      </w:r>
      <w:r>
        <w:t xml:space="preserve">ιδικότερα, </w:t>
      </w:r>
      <w:r w:rsidR="00860398">
        <w:t>σ</w:t>
      </w:r>
      <w:r>
        <w:t xml:space="preserve">τα άρθρα 51-56, 74, 94 και 95 </w:t>
      </w:r>
      <w:r w:rsidR="00860398">
        <w:t>.</w:t>
      </w:r>
    </w:p>
    <w:p w14:paraId="7E64AF91" w14:textId="72A4CE73" w:rsidR="00AD4749" w:rsidRDefault="00AD4749" w:rsidP="00AD4749">
      <w:r>
        <w:t>Επιπλέον, διατίθενται πολλές κατευθυντήριες γραμμές, εργαλεία και πλατφόρμες ανταλλαγών σχετικά με τις ΕΑΚ· ιδού μερικά παραδείγματα:</w:t>
      </w:r>
    </w:p>
    <w:p w14:paraId="77B05717" w14:textId="6E8A1E14" w:rsidR="00AD4749" w:rsidRPr="0046416E" w:rsidRDefault="00AD4749" w:rsidP="0046416E">
      <w:pPr>
        <w:pStyle w:val="a0"/>
        <w:numPr>
          <w:ilvl w:val="0"/>
          <w:numId w:val="19"/>
        </w:numPr>
        <w:rPr>
          <w:b/>
          <w:bCs/>
        </w:rPr>
      </w:pPr>
      <w:r w:rsidRPr="0046416E">
        <w:rPr>
          <w:b/>
          <w:bCs/>
        </w:rPr>
        <w:t>Ευρωπαϊκή Επιτροπή: Ιστότοπος απλουστευμένων επιλογών κόστους που παρέχει καθοδήγηση και ανταλλαγή απόψεων σχετικά με τις ΕΑΚ και τις συνεδριάσεις του δικτύου</w:t>
      </w:r>
    </w:p>
    <w:p w14:paraId="430A12A7" w14:textId="76BDF256" w:rsidR="00AD4749" w:rsidRPr="0046416E" w:rsidRDefault="00000000" w:rsidP="0046416E">
      <w:pPr>
        <w:ind w:firstLine="360"/>
      </w:pPr>
      <w:hyperlink r:id="rId14" w:history="1">
        <w:r w:rsidR="0046416E" w:rsidRPr="00BF2ADE">
          <w:rPr>
            <w:rStyle w:val="-"/>
          </w:rPr>
          <w:t>https://ec.europa.eu/regional_policy/policy/how/improving-investment/simplified-cost-options_en</w:t>
        </w:r>
      </w:hyperlink>
      <w:r w:rsidR="0046416E" w:rsidRPr="0046416E">
        <w:t xml:space="preserve"> </w:t>
      </w:r>
    </w:p>
    <w:p w14:paraId="747A6FE6" w14:textId="09B603CA" w:rsidR="00AD4749" w:rsidRPr="0046416E" w:rsidRDefault="00AD4749" w:rsidP="0046416E">
      <w:pPr>
        <w:pStyle w:val="a0"/>
        <w:numPr>
          <w:ilvl w:val="0"/>
          <w:numId w:val="19"/>
        </w:numPr>
        <w:rPr>
          <w:b/>
          <w:bCs/>
        </w:rPr>
      </w:pPr>
      <w:r w:rsidRPr="0046416E">
        <w:rPr>
          <w:b/>
          <w:bCs/>
        </w:rPr>
        <w:t>Ομάδα εμπειρογνωμόνων για τα Ευρωπαϊκά Διαρθρωτικά Ταμεία Επενδύσεων (EGESIF)</w:t>
      </w:r>
    </w:p>
    <w:p w14:paraId="1823C597" w14:textId="77777777" w:rsidR="00AD4749" w:rsidRDefault="00AD4749" w:rsidP="00AD4749">
      <w:r>
        <w:t>Ένα βασικό έγγραφο καθοδήγησης σχετικά με τις ΕΑΚ είναι «Κατευθυντήριες γραμμές της Επιτροπής σχετικά με τη χρήση απλουστευμένων επιλογών κόστους στο πλαίσιο των Ευρωπαϊκών Διαρθρωτικών και Επενδυτικών Ταμείων (ΕΔΕΤ) — αναθεωρημένη έκδοση (2021/C 200/01)». Αυτό αναθεωρήθηκε για την περίοδο προγραμματισμού 2014-2020 και δημοσιεύθηκε τον Μάιο του 2021:</w:t>
      </w:r>
    </w:p>
    <w:p w14:paraId="2F5FEF39" w14:textId="5842E1AE" w:rsidR="00AD4749" w:rsidRPr="0046416E" w:rsidRDefault="00000000" w:rsidP="0046416E">
      <w:pPr>
        <w:ind w:firstLine="708"/>
      </w:pPr>
      <w:hyperlink r:id="rId15" w:history="1">
        <w:r w:rsidR="0046416E" w:rsidRPr="00BF2ADE">
          <w:rPr>
            <w:rStyle w:val="-"/>
          </w:rPr>
          <w:t>https://eur-lex.europa.eu/legal-content/EN/TXT/PDF/?uri=CELEX:52021XC0527(02)</w:t>
        </w:r>
      </w:hyperlink>
      <w:r w:rsidR="0046416E" w:rsidRPr="0046416E">
        <w:t xml:space="preserve"> </w:t>
      </w:r>
    </w:p>
    <w:p w14:paraId="5028624D" w14:textId="68722B51" w:rsidR="00AD4749" w:rsidRDefault="0046416E" w:rsidP="00860398">
      <w:pPr>
        <w:pStyle w:val="a0"/>
        <w:numPr>
          <w:ilvl w:val="0"/>
          <w:numId w:val="19"/>
        </w:numPr>
      </w:pPr>
      <w:r>
        <w:t xml:space="preserve">πρόγραμμα </w:t>
      </w:r>
      <w:r w:rsidR="00860398" w:rsidRPr="00860398">
        <w:rPr>
          <w:b/>
          <w:bCs/>
        </w:rPr>
        <w:t>Ι</w:t>
      </w:r>
      <w:r w:rsidRPr="00860398">
        <w:rPr>
          <w:b/>
          <w:bCs/>
        </w:rPr>
        <w:t>nteract</w:t>
      </w:r>
      <w:r>
        <w:t xml:space="preserve"> </w:t>
      </w:r>
      <w:r w:rsidR="00860398">
        <w:t>με έμφαση στην</w:t>
      </w:r>
      <w:r w:rsidR="00AD4749">
        <w:t xml:space="preserve"> πρακτική εφαρμογή των ΕΑΚ και πολύ καλό εκπαιδευτικό υλικό,:</w:t>
      </w:r>
    </w:p>
    <w:p w14:paraId="38501411" w14:textId="5B8F3A60" w:rsidR="00AD4749" w:rsidRDefault="00000000" w:rsidP="00AD4749">
      <w:hyperlink r:id="rId16" w:history="1">
        <w:r w:rsidR="00860398" w:rsidRPr="00BF2ADE">
          <w:rPr>
            <w:rStyle w:val="-"/>
          </w:rPr>
          <w:t>http://www.interact-eu.net/search/node/simplified%20cost%20options</w:t>
        </w:r>
      </w:hyperlink>
      <w:r w:rsidR="00860398">
        <w:t xml:space="preserve"> </w:t>
      </w:r>
    </w:p>
    <w:p w14:paraId="731E9FD2" w14:textId="7543D3A3" w:rsidR="00AD4749" w:rsidRDefault="00000000" w:rsidP="00AD4749">
      <w:hyperlink r:id="rId17" w:history="1">
        <w:r w:rsidR="00860398" w:rsidRPr="00BF2ADE">
          <w:rPr>
            <w:rStyle w:val="-"/>
          </w:rPr>
          <w:t>https://learning.interact-eu.net/course/scos-explained</w:t>
        </w:r>
      </w:hyperlink>
      <w:r w:rsidR="00860398">
        <w:t xml:space="preserve"> </w:t>
      </w:r>
    </w:p>
    <w:p w14:paraId="79D84738" w14:textId="77777777" w:rsidR="00860398" w:rsidRDefault="00860398">
      <w:pPr>
        <w:jc w:val="left"/>
        <w:rPr>
          <w:rFonts w:ascii="EC Square Sans Pro" w:eastAsiaTheme="majorEastAsia" w:hAnsi="EC Square Sans Pro" w:cs="Times New Roman (Titres CS)"/>
          <w:bCs/>
          <w:caps/>
          <w:color w:val="2481C3" w:themeColor="accent4"/>
          <w:sz w:val="36"/>
          <w:szCs w:val="36"/>
        </w:rPr>
      </w:pPr>
      <w:r>
        <w:br w:type="page"/>
      </w:r>
    </w:p>
    <w:p w14:paraId="634A9EE8" w14:textId="1AB648D9" w:rsidR="00905FCA" w:rsidRPr="00EA49B0" w:rsidRDefault="00860398" w:rsidP="00860398">
      <w:pPr>
        <w:pStyle w:val="20"/>
        <w:jc w:val="both"/>
        <w:rPr>
          <w:lang w:val="el-GR"/>
        </w:rPr>
      </w:pPr>
      <w:bookmarkStart w:id="5" w:name="_Toc173280262"/>
      <w:r w:rsidRPr="00AF3E0C">
        <w:rPr>
          <w:lang w:val="el-GR"/>
        </w:rPr>
        <w:lastRenderedPageBreak/>
        <w:t>1.</w:t>
      </w:r>
      <w:r>
        <w:rPr>
          <w:lang w:val="el-GR"/>
        </w:rPr>
        <w:t xml:space="preserve">3 </w:t>
      </w:r>
      <w:r w:rsidR="00905FCA">
        <w:rPr>
          <w:lang w:val="el-GR"/>
        </w:rPr>
        <w:t xml:space="preserve">ΤΥΠΟΙ </w:t>
      </w:r>
      <w:r w:rsidR="00905FCA" w:rsidRPr="00AD4749">
        <w:rPr>
          <w:lang w:val="el-GR"/>
        </w:rPr>
        <w:t>Επιλογ</w:t>
      </w:r>
      <w:r w:rsidR="00905FCA">
        <w:rPr>
          <w:lang w:val="el-GR"/>
        </w:rPr>
        <w:t>ΩΝ</w:t>
      </w:r>
      <w:r w:rsidR="00905FCA" w:rsidRPr="00AD4749">
        <w:rPr>
          <w:lang w:val="el-GR"/>
        </w:rPr>
        <w:t xml:space="preserve"> Απλοποιημένου Κόστους</w:t>
      </w:r>
      <w:bookmarkEnd w:id="5"/>
    </w:p>
    <w:p w14:paraId="0E3EBA78" w14:textId="77777777" w:rsidR="00905FCA" w:rsidRDefault="00905FCA" w:rsidP="00905FCA"/>
    <w:p w14:paraId="4FC4A28E" w14:textId="05B29AD4" w:rsidR="00905FCA" w:rsidRDefault="00905FCA" w:rsidP="00905FCA">
      <w:r>
        <w:t xml:space="preserve">Υπάρχουν δύο βασικοί άξονες κατηγοροιοποίησης ΕΑΚ, σύμφωνα με την </w:t>
      </w:r>
      <w:r w:rsidR="007E54A1">
        <w:t>προέλευση</w:t>
      </w:r>
      <w:r>
        <w:t xml:space="preserve">, και σύμφωνα με τον τύπο. </w:t>
      </w:r>
    </w:p>
    <w:p w14:paraId="49DBF90F" w14:textId="389D6BFD" w:rsidR="00905FCA" w:rsidRDefault="00905FCA" w:rsidP="00905FCA">
      <w:r>
        <w:t xml:space="preserve">Οι </w:t>
      </w:r>
      <w:r w:rsidRPr="007E54A1">
        <w:rPr>
          <w:b/>
          <w:bCs/>
        </w:rPr>
        <w:t xml:space="preserve">επιλογές </w:t>
      </w:r>
      <w:r w:rsidR="007E54A1" w:rsidRPr="007E54A1">
        <w:rPr>
          <w:b/>
          <w:bCs/>
        </w:rPr>
        <w:t>προέλευσης</w:t>
      </w:r>
      <w:r>
        <w:t xml:space="preserve"> είναι:</w:t>
      </w:r>
    </w:p>
    <w:p w14:paraId="2FDA117A" w14:textId="158D9953" w:rsidR="00905FCA" w:rsidRDefault="00905FCA" w:rsidP="00905FCA">
      <w:pPr>
        <w:pStyle w:val="a0"/>
        <w:numPr>
          <w:ilvl w:val="0"/>
          <w:numId w:val="19"/>
        </w:numPr>
      </w:pPr>
      <w:r>
        <w:t xml:space="preserve">«Off-the-shelf»: έτοιμες ΕΑΚ που προσφέρονται στον κανονισμό ΚΚΔ 2021-2027 και στον κανονισμό Omnibus από το 2018 (κατ’ αποκοπή τιμές, μοναδιαίο κόστος, χωρίς κατ’ αποκοπή ποσό). Δεν υπάρχει ανάγκη ανάπτυξης οποιασδήποτε μεθοδολογίας, και συγκεκριμένα ποσοστά και μέθοδοι μπορούν να εφαρμοστούν άμεσα μέχρι το μέγιστο επιτρεπόμενο ποσοστό. Το πλεονέκτημα αυτών των ΕΑΚ είναι η άμεση εφαρμογή, το </w:t>
      </w:r>
      <w:r w:rsidR="007E54A1">
        <w:t xml:space="preserve">μειονέκτημα είναι το περιορισμένο εύρος δαπανών. </w:t>
      </w:r>
    </w:p>
    <w:p w14:paraId="1ABBA31A" w14:textId="132F038A" w:rsidR="007E54A1" w:rsidRDefault="00905FCA" w:rsidP="00C7763D">
      <w:pPr>
        <w:pStyle w:val="a0"/>
        <w:numPr>
          <w:ilvl w:val="0"/>
          <w:numId w:val="19"/>
        </w:numPr>
      </w:pPr>
      <w:r>
        <w:t xml:space="preserve"> «Εξατομικευμένες» ΕΑΚ που </w:t>
      </w:r>
      <w:r w:rsidR="007E54A1">
        <w:t xml:space="preserve">αναπτύσσονται </w:t>
      </w:r>
      <w:r>
        <w:t xml:space="preserve">σε επίπεδο προγράμματος από τη ΔΑ, με ειδική μεθοδολογία που ενσωματώνει την αρχή </w:t>
      </w:r>
      <w:r w:rsidR="007E54A1" w:rsidRPr="007E54A1">
        <w:t>δίκαιη</w:t>
      </w:r>
      <w:r w:rsidR="007E54A1">
        <w:t>ς</w:t>
      </w:r>
      <w:r w:rsidR="007E54A1" w:rsidRPr="007E54A1">
        <w:t>, αντικειμενική</w:t>
      </w:r>
      <w:r w:rsidR="007E54A1">
        <w:t>ς</w:t>
      </w:r>
      <w:r w:rsidR="007E54A1" w:rsidRPr="007E54A1">
        <w:t xml:space="preserve"> και επαληθεύσιμη</w:t>
      </w:r>
      <w:r w:rsidR="007E54A1">
        <w:t>ς</w:t>
      </w:r>
      <w:r w:rsidR="007E54A1" w:rsidRPr="007E54A1">
        <w:t xml:space="preserve"> </w:t>
      </w:r>
      <w:r w:rsidR="007E54A1">
        <w:t>μεθόδου</w:t>
      </w:r>
      <w:r w:rsidR="007E54A1" w:rsidRPr="007E54A1">
        <w:t xml:space="preserve"> υπολογισμού</w:t>
      </w:r>
      <w:r>
        <w:t>και έγκαιρη διαβούλευση με την ελεγκτική αρχή</w:t>
      </w:r>
      <w:r w:rsidR="007E54A1" w:rsidRPr="007E54A1">
        <w:t xml:space="preserve"> (</w:t>
      </w:r>
      <w:r w:rsidR="007E54A1">
        <w:t>βλέπε και ΚΚΔ, Άρθρο 53)</w:t>
      </w:r>
      <w:r>
        <w:t>.</w:t>
      </w:r>
      <w:r w:rsidR="007E54A1">
        <w:t xml:space="preserve"> Πλεονεκτήματα και μειονεκτήματα είναι τα αντίστροφα των έτοιμων ΕΑΚ. </w:t>
      </w:r>
    </w:p>
    <w:p w14:paraId="6E641F14" w14:textId="38A2B767" w:rsidR="00905FCA" w:rsidRDefault="007E54A1" w:rsidP="00986EEA">
      <w:pPr>
        <w:pStyle w:val="a0"/>
        <w:numPr>
          <w:ilvl w:val="0"/>
          <w:numId w:val="19"/>
        </w:numPr>
      </w:pPr>
      <w:r>
        <w:t xml:space="preserve">ο ενδιάμεσος τύπος αντιγραφής ΕΑΚ από </w:t>
      </w:r>
      <w:r w:rsidR="00905FCA">
        <w:t xml:space="preserve">υφιστάμενα ενωσιακά ή εθνικά συστήματα, αλλά μόνο για παρόμοιους τύπους πράξεων και δικαιούχων. </w:t>
      </w:r>
    </w:p>
    <w:p w14:paraId="47387EDC" w14:textId="77777777" w:rsidR="007E54A1" w:rsidRDefault="007E54A1" w:rsidP="007E54A1">
      <w:pPr>
        <w:ind w:left="360"/>
      </w:pPr>
    </w:p>
    <w:p w14:paraId="5CCD27DF" w14:textId="77777777" w:rsidR="007E54A1" w:rsidRDefault="007E54A1" w:rsidP="00905FCA">
      <w:r>
        <w:t>Όσον αφορά στον τύπο, υ</w:t>
      </w:r>
      <w:r w:rsidR="00905FCA">
        <w:t>πάρχουν τρ</w:t>
      </w:r>
      <w:r>
        <w:t>εις</w:t>
      </w:r>
      <w:r w:rsidR="00905FCA">
        <w:t xml:space="preserve"> βασικ</w:t>
      </w:r>
      <w:r>
        <w:t>οί</w:t>
      </w:r>
      <w:r w:rsidR="00905FCA">
        <w:t xml:space="preserve"> </w:t>
      </w:r>
      <w:r>
        <w:t>τύποι</w:t>
      </w:r>
      <w:r w:rsidR="00905FCA">
        <w:t xml:space="preserve"> ΕΑΚ</w:t>
      </w:r>
      <w:r>
        <w:t>:</w:t>
      </w:r>
    </w:p>
    <w:p w14:paraId="04D1BDAA" w14:textId="77777777" w:rsidR="007E54A1" w:rsidRDefault="007E54A1" w:rsidP="007E54A1">
      <w:pPr>
        <w:pStyle w:val="a0"/>
        <w:numPr>
          <w:ilvl w:val="0"/>
          <w:numId w:val="23"/>
        </w:numPr>
      </w:pPr>
      <w:r w:rsidRPr="007E54A1">
        <w:t xml:space="preserve">μοναδιαίο κόστος (unit cost), </w:t>
      </w:r>
    </w:p>
    <w:p w14:paraId="47628743" w14:textId="77777777" w:rsidR="007E54A1" w:rsidRDefault="007E54A1" w:rsidP="007E54A1">
      <w:pPr>
        <w:pStyle w:val="a0"/>
        <w:numPr>
          <w:ilvl w:val="0"/>
          <w:numId w:val="23"/>
        </w:numPr>
      </w:pPr>
      <w:r w:rsidRPr="007E54A1">
        <w:t xml:space="preserve">κατ' αποκοπή ποσό (lump sum), </w:t>
      </w:r>
    </w:p>
    <w:p w14:paraId="0B23CEAD" w14:textId="6E243672" w:rsidR="007E54A1" w:rsidRDefault="007E54A1" w:rsidP="007E54A1">
      <w:pPr>
        <w:pStyle w:val="a0"/>
        <w:numPr>
          <w:ilvl w:val="0"/>
          <w:numId w:val="23"/>
        </w:numPr>
      </w:pPr>
      <w:r w:rsidRPr="007E54A1">
        <w:t>κατ’ αποκοπή ποσοστό (flat rate)</w:t>
      </w:r>
    </w:p>
    <w:p w14:paraId="6CF540B6" w14:textId="77777777" w:rsidR="007E54A1" w:rsidRDefault="007E54A1" w:rsidP="007E54A1"/>
    <w:p w14:paraId="0EB7441A" w14:textId="5BFAF6C4" w:rsidR="00222D38" w:rsidRPr="00222D38" w:rsidRDefault="00222D38" w:rsidP="007E54A1">
      <w:r>
        <w:t>Μια ειδική μορφή κατ’ αποκοπή ποσού, αποτελεί το σχέδιο προϋπολογισμού (</w:t>
      </w:r>
      <w:r>
        <w:rPr>
          <w:lang w:val="en-US"/>
        </w:rPr>
        <w:t>draft</w:t>
      </w:r>
      <w:r w:rsidRPr="006B4E13">
        <w:t xml:space="preserve"> </w:t>
      </w:r>
      <w:r>
        <w:rPr>
          <w:lang w:val="en-US"/>
        </w:rPr>
        <w:t>budget</w:t>
      </w:r>
      <w:r>
        <w:t>).</w:t>
      </w:r>
    </w:p>
    <w:p w14:paraId="227E46B9" w14:textId="77777777" w:rsidR="007E54A1" w:rsidRPr="007E54A1" w:rsidRDefault="007E54A1" w:rsidP="007E54A1">
      <w:pPr>
        <w:rPr>
          <w:b/>
          <w:bCs/>
        </w:rPr>
      </w:pPr>
      <w:r w:rsidRPr="007E54A1">
        <w:rPr>
          <w:b/>
          <w:bCs/>
        </w:rPr>
        <w:t>Πότε χρησιμοποιείται το μοναδιαίο κόστος;</w:t>
      </w:r>
    </w:p>
    <w:p w14:paraId="616BF222" w14:textId="77777777" w:rsidR="007E54A1" w:rsidRDefault="007E54A1" w:rsidP="007E54A1">
      <w:r>
        <w:t>Το σύνολο ή μέρος των επιλέξιμων δαπανών μιας πράξης υπολογίζεται βάσει αναμενόμενης ποσότητας δραστηριοτήτων, εκροών ή αποτελεσμάτων πολλαπλασιαζόμενων επί τυποποιημένες κλίμακες μοναδιαίου κόστους, οι οποίες συμφωνούνται στο στάδιο έγκρισης της χρηματοδότησης.</w:t>
      </w:r>
    </w:p>
    <w:p w14:paraId="5B9EEB0D" w14:textId="77777777" w:rsidR="007E54A1" w:rsidRDefault="007E54A1" w:rsidP="007E54A1">
      <w:r>
        <w:t>Το σύστημα αυτό μπορεί να χρησιμοποιηθεί για οποιοδήποτε είδος έργου, ή μέρος ενός έργου, όταν είναι δυνατός ο εύκολος προσδιορισμός και ο προσδιορισμός:</w:t>
      </w:r>
    </w:p>
    <w:p w14:paraId="065D6257" w14:textId="1B54AF48" w:rsidR="00E57657" w:rsidRDefault="00E57657" w:rsidP="00E57657">
      <w:pPr>
        <w:pStyle w:val="a0"/>
        <w:numPr>
          <w:ilvl w:val="0"/>
          <w:numId w:val="24"/>
        </w:numPr>
      </w:pPr>
      <w:r>
        <w:t>Των αναμενόμενων ποσοτήτων</w:t>
      </w:r>
      <w:r w:rsidR="007E54A1">
        <w:t xml:space="preserve"> μιας συγκεκριμένης δραστηριότητας, εκροής ή αποτελέσματος που θα αντιπροσώπευαν την επιτυχή παράδοση της πράξης· και</w:t>
      </w:r>
    </w:p>
    <w:p w14:paraId="3E659311" w14:textId="13C4F7A6" w:rsidR="007E54A1" w:rsidRDefault="007E54A1" w:rsidP="00E57657">
      <w:pPr>
        <w:pStyle w:val="a0"/>
        <w:numPr>
          <w:ilvl w:val="0"/>
          <w:numId w:val="24"/>
        </w:numPr>
      </w:pPr>
      <w:r>
        <w:t>κλίμακα μοναδιαίου κόστους για τις ποσότητες αυτές.</w:t>
      </w:r>
    </w:p>
    <w:p w14:paraId="603B7545" w14:textId="77777777" w:rsidR="00E57657" w:rsidRDefault="00E57657" w:rsidP="007E54A1"/>
    <w:p w14:paraId="25894366" w14:textId="69E02FF8" w:rsidR="00E57657" w:rsidRDefault="00E57657" w:rsidP="007E54A1">
      <w:r>
        <w:t xml:space="preserve">Στην περίπτωση των έργων </w:t>
      </w:r>
      <w:r w:rsidRPr="00E57657">
        <w:t>Έργων και Υποδομών</w:t>
      </w:r>
      <w:r>
        <w:t xml:space="preserve"> Ύδατος,  το μοναδιαίο κόστος δύναται να εφαρμοσθεί πχ σε υποδομές συγκεκριμένων προδιαγραφών, διατομής κτλ. ανά μονάδα μήκους.</w:t>
      </w:r>
    </w:p>
    <w:p w14:paraId="39A64176" w14:textId="03399415" w:rsidR="00E57657" w:rsidRPr="00E57657" w:rsidRDefault="00E57657" w:rsidP="00E57657">
      <w:pPr>
        <w:rPr>
          <w:b/>
          <w:bCs/>
        </w:rPr>
      </w:pPr>
      <w:r w:rsidRPr="00E57657">
        <w:rPr>
          <w:b/>
          <w:bCs/>
        </w:rPr>
        <w:t xml:space="preserve">Πότε </w:t>
      </w:r>
      <w:r w:rsidRPr="007E54A1">
        <w:rPr>
          <w:b/>
          <w:bCs/>
        </w:rPr>
        <w:t xml:space="preserve">χρησιμοποιείται </w:t>
      </w:r>
      <w:r>
        <w:rPr>
          <w:b/>
          <w:bCs/>
        </w:rPr>
        <w:t xml:space="preserve">το </w:t>
      </w:r>
      <w:r w:rsidRPr="00E57657">
        <w:rPr>
          <w:b/>
          <w:bCs/>
        </w:rPr>
        <w:t>κατ’ αποκοπή ποσ</w:t>
      </w:r>
      <w:r>
        <w:rPr>
          <w:b/>
          <w:bCs/>
        </w:rPr>
        <w:t>ό</w:t>
      </w:r>
    </w:p>
    <w:p w14:paraId="7CEFCE31" w14:textId="49B7A65C" w:rsidR="00E57657" w:rsidRDefault="00E57657" w:rsidP="00E57657">
      <w:r>
        <w:t xml:space="preserve">Τα κατ’ αποκοπή ποσά είναι παρόμοια με τις μοναδιαίες δαπάνες, υπό την έννοια ότι όλες οι επιλέξιμες δαπάνες, ή μέρη των επιλέξιμων δαπανών, μιας πράξης υπολογίζονται βάσει προκαθορισμένου κατ’ αποκοπή ποσού, σύμφωνα με προκαθορισμένους όρους συμφωνίας για τη δραστηριότητα ή το γεγονός, το ορόσημο ή το στάδιο υλοποίησης, ή μια εκροή. Ο τύπος του κατ’ αποκοπή ποσού θα μπορούσε επίσης να χρησιμοποιηθεί στην περίπτωση ενισχύσεων όπου οι τυποποιημένες κλίμακες μοναδιαίου κόστους δεν αποτελούν κατάλληλη λύση. </w:t>
      </w:r>
    </w:p>
    <w:p w14:paraId="4A83DDD5" w14:textId="36CCBEFF" w:rsidR="00E57657" w:rsidRDefault="00E57657" w:rsidP="00E57657">
      <w:r>
        <w:lastRenderedPageBreak/>
        <w:t>Η κύρια διαφορά μεταξύ των κατ’ αποκοπή ποσών και του μοναδιαίου κόστους είναι η σχέση μεταξύ κόστους και ποσοτήτων. Στην περίπτωση μοναδιαίου κόστους, όταν μειώνονται οι ποσότητες, οι επιλέξιμες δαπάνες μειώνονται αναλογικά. Στην περίπτωση των κατ’ αποκοπή ποσών, η αναλογικότητα αυτή δεν ισχύει. Οικονομικός κίνδυνος για τον δικαιούχο μπορεί να προκύψει όταν δεν υπάρχουν άλλες επιλογές από τη λήψη του 0 % ή του 100 % της επιχορήγησης. Ως εκ τούτου, κατά τον καθορισμό των όρων στήριξης στη συμφωνία επιχορήγησης με τον δικαιούχο, είναι ζωτικής σημασίας να καθοριστεί λεπτομερώς ο τρόπος με τον οποίο θα μειωθεί η επιστροφή σε περίπτωση μη επίτευξης των στόχων.</w:t>
      </w:r>
    </w:p>
    <w:p w14:paraId="54C136AB" w14:textId="686F01B6" w:rsidR="00E57657" w:rsidRDefault="00E57657" w:rsidP="00E57657">
      <w:r>
        <w:t xml:space="preserve">Στην περίπτωση των έργων </w:t>
      </w:r>
      <w:r w:rsidRPr="00E57657">
        <w:t>Έργων και Υποδομών</w:t>
      </w:r>
      <w:r>
        <w:t xml:space="preserve"> Ύδατος,  το </w:t>
      </w:r>
      <w:r w:rsidRPr="00E57657">
        <w:rPr>
          <w:b/>
          <w:bCs/>
        </w:rPr>
        <w:t>κατ’ αποκοπή ποσ</w:t>
      </w:r>
      <w:r>
        <w:rPr>
          <w:b/>
          <w:bCs/>
        </w:rPr>
        <w:t>ό</w:t>
      </w:r>
      <w:r>
        <w:t xml:space="preserve"> δύναται να εφαρμοσθεί πχ σε υποδομές όπου δεν είναι ευχερής η ανάλυση σε επιμέρους τμήματα και η κατασκεύη και λειτουργία της υποδομής απαιτούν επί τόπου παραμετροποίηση.</w:t>
      </w:r>
    </w:p>
    <w:p w14:paraId="147C96F5" w14:textId="01B996B0" w:rsidR="00E57657" w:rsidRPr="006B4E13" w:rsidRDefault="00E57657" w:rsidP="00905FCA">
      <w:pPr>
        <w:rPr>
          <w:b/>
          <w:bCs/>
        </w:rPr>
      </w:pPr>
      <w:r w:rsidRPr="006B4E13">
        <w:rPr>
          <w:b/>
          <w:bCs/>
        </w:rPr>
        <w:t>Πότε χρησιμοποιείται το κατ’ αποκοπή ποσοστό</w:t>
      </w:r>
    </w:p>
    <w:p w14:paraId="79050564" w14:textId="77777777" w:rsidR="00905FCA" w:rsidRDefault="00905FCA" w:rsidP="00905FCA">
      <w:r>
        <w:t>Στην περίπτωση των κατ’ αποκοπή συντελεστών, οι ειδικές κατηγορίες επιλέξιμων δαπανών — οι οποίες πρέπει πάντα να προσδιορίζονται σαφώς πριν από την εμφάνιση των δαπανών ή την πραγματοποίηση των δραστηριοτήτων — υπολογίζονται με την εφαρμογή σταθερού ποσοστού σε άλλες κατηγορίες επιλέξιμων δαπανών. Το ποσοστό συμφωνείται εκ των προτέρων, κατά το στάδιο έγκρισης της χρηματοδότησης, και δεν μεταβάλλεται κατά την υλοποίηση της πράξης.</w:t>
      </w:r>
    </w:p>
    <w:p w14:paraId="0A195D11" w14:textId="77777777" w:rsidR="006B4E13" w:rsidRDefault="00905FCA" w:rsidP="00905FCA">
      <w:r>
        <w:t xml:space="preserve">Για παράδειγμα, μπορεί να εφαρμοστεί κατ’ αποκοπή συντελεστής </w:t>
      </w:r>
      <w:r w:rsidR="006B4E13">
        <w:t>Χ</w:t>
      </w:r>
      <w:r>
        <w:t xml:space="preserve"> % για τον υπολογισμό των </w:t>
      </w:r>
      <w:r w:rsidR="006B4E13">
        <w:t>δαπανών προσωπικού</w:t>
      </w:r>
      <w:r>
        <w:t xml:space="preserve"> δαπανών («γενικά έξοδα») από τις άμεσες δαπάνες </w:t>
      </w:r>
      <w:r w:rsidR="006B4E13">
        <w:t xml:space="preserve">εξοπλισμού. Στους κανονισμούς της ΕΕ υπάρχουν σχετικές </w:t>
      </w:r>
      <w:r>
        <w:t>«off-the-off»</w:t>
      </w:r>
      <w:r w:rsidR="006B4E13">
        <w:t xml:space="preserve"> επιλογές</w:t>
      </w:r>
      <w:r>
        <w:t xml:space="preserve">. </w:t>
      </w:r>
    </w:p>
    <w:p w14:paraId="5D8D3793" w14:textId="77777777" w:rsidR="006B4E13" w:rsidRDefault="006B4E13" w:rsidP="006B4E13">
      <w:r>
        <w:t xml:space="preserve">Στην περίπτωση των έργων </w:t>
      </w:r>
      <w:r w:rsidRPr="00E57657">
        <w:t>Έργων και Υποδομών</w:t>
      </w:r>
      <w:r>
        <w:t xml:space="preserve"> Ύδατος,  το </w:t>
      </w:r>
      <w:r w:rsidRPr="00E57657">
        <w:rPr>
          <w:b/>
          <w:bCs/>
        </w:rPr>
        <w:t xml:space="preserve">κατ’ αποκοπή </w:t>
      </w:r>
      <w:r w:rsidRPr="006B4E13">
        <w:rPr>
          <w:b/>
          <w:bCs/>
        </w:rPr>
        <w:t>ποσοστό</w:t>
      </w:r>
      <w:r>
        <w:t xml:space="preserve"> δύναται να εφαρμοσθεί πχ σε δαπάνες με μεγάλο βαθμό λεπτομέρειας και τιμολογίων, όπου όμως υπάρχει μια σταθερή σχέση με άλλες μεταβλητές δαπάνες (πχ. αδειοδοτήσεις).</w:t>
      </w:r>
    </w:p>
    <w:p w14:paraId="1241595F" w14:textId="5BF73F84" w:rsidR="006B4E13" w:rsidRDefault="006B4E13" w:rsidP="006B4E13">
      <w:pPr>
        <w:rPr>
          <w:b/>
          <w:bCs/>
        </w:rPr>
      </w:pPr>
      <w:r w:rsidRPr="006B4E13">
        <w:rPr>
          <w:b/>
          <w:bCs/>
        </w:rPr>
        <w:t xml:space="preserve">Πότε χρησιμοποιείται το </w:t>
      </w:r>
      <w:r>
        <w:rPr>
          <w:b/>
          <w:bCs/>
        </w:rPr>
        <w:t>σχέδιο προϋπολογισμού</w:t>
      </w:r>
      <w:r w:rsidR="00222D38">
        <w:rPr>
          <w:b/>
          <w:bCs/>
        </w:rPr>
        <w:t xml:space="preserve"> (</w:t>
      </w:r>
      <w:r w:rsidR="00222D38" w:rsidRPr="00222D38">
        <w:rPr>
          <w:b/>
          <w:bCs/>
        </w:rPr>
        <w:t>draft budget</w:t>
      </w:r>
      <w:r w:rsidR="00222D38">
        <w:rPr>
          <w:b/>
          <w:bCs/>
        </w:rPr>
        <w:t>)</w:t>
      </w:r>
    </w:p>
    <w:p w14:paraId="411DB075" w14:textId="04F5880B" w:rsidR="006B4E13" w:rsidRDefault="006B4E13" w:rsidP="006B4E13">
      <w:r w:rsidRPr="006B4E13">
        <w:t>Το σχέδιο προϋπολογισμού</w:t>
      </w:r>
      <w:r>
        <w:t xml:space="preserve"> αποτελε</w:t>
      </w:r>
      <w:r w:rsidR="00222D38">
        <w:t>ί</w:t>
      </w:r>
      <w:r>
        <w:t xml:space="preserve"> την πιο απαιτητική μορφή ΕΑΚ, καθώς η μεθοδολογία υπολογισμού των δαπανών ορίζεται σε επίπεδο έργου και όχι προγράμματος. Ο δικαιούχος προτείνει σχέδιο προϋπολογισμού για το έργο του, με λεπτομερείς πληροφορίες για κάθε γραμμή του προϋπολογισμού, συμπεριλαμβανομένης της χρησιμοποιούμενης μεθοδολογίας υπολογισμού. Η ΔΑ αξιολογεί το σχέδιο προϋπολογισμού κατά περίπτωση και ζητεί αναθεωρήσεις ανάλογα με τις ανάγκες. Μετά την έγκριση του σχεδίου προϋπολογισμού, η ΔΑ θεσπίζει στη συνέχεια τις ΕΑΚ, όπου είναι δυνατόν: με άλλα λόγια, το σχέδιο προϋπολογισμού μετατρέπεται σε κατ’ αποκοπή συντελεστές, μοναδιαίες δαπάνες ή κατ’ αποκοπή ποσά.</w:t>
      </w:r>
    </w:p>
    <w:p w14:paraId="2B074DA0" w14:textId="6FC27F76" w:rsidR="006B4E13" w:rsidRDefault="006B4E13" w:rsidP="006B4E13">
      <w:r>
        <w:t>Κατά τη διάρκεια της υλοποίησης του έργου, δεν απαιτείται αιτιολόγηση των πραγματικών δαπανών από το σχέδιο προϋπολογισμού (εκτός εάν χρησιμοποιούνται κατ’ αποκοπή ποσοστά, οπότε θα πρέπει να παρέχεται αιτιολόγηση για το βασικό κόστος για τον κατ’ αποκοπή υπολογισμό). Η εφαρμογή του σχεδίου προϋπολογισμού απαιτεί ένα σταθερό απόθεμα δεικτών αναφοράς κόστους, δεδομένου ότι ο προϋπολογισμός που προτείνεται από την αίτηση πρέπει να ελέγχεται διεξοδικά πριν μετατραπεί σε ΕΑΚ.</w:t>
      </w:r>
    </w:p>
    <w:p w14:paraId="5239B3CA" w14:textId="77777777" w:rsidR="006B4E13" w:rsidRDefault="006B4E13" w:rsidP="006B4E13">
      <w:r>
        <w:t>Ένα σημαντικό πλεονέκτημα είναι το γεγονός ότι ο λεπτομερής έλεγχος κόστους πρέπει να γίνεται μόνο μία φορά, δηλαδή κατά τη στιγμή της υποβολής του έργου, και όχι πλέον στο τέλος. Αυτό αποφέρει εκτιμώμενη εξοικονόμηση περίπου 40 % στην προσπάθεια ελέγχου. Ωστόσο, μια σημαντική πρόκληση είναι ο καθορισμός ορόσημων που μπορούν να ελεγχθούν.</w:t>
      </w:r>
    </w:p>
    <w:p w14:paraId="245DF2BA" w14:textId="3947170B" w:rsidR="006B4E13" w:rsidRDefault="006B4E13" w:rsidP="006B4E13">
      <w:r>
        <w:t xml:space="preserve">Στην περίπτωση των έργων </w:t>
      </w:r>
      <w:r w:rsidRPr="00E57657">
        <w:t>Έργων και Υποδομών</w:t>
      </w:r>
      <w:r>
        <w:t xml:space="preserve"> Ύδατος,  το </w:t>
      </w:r>
      <w:r>
        <w:rPr>
          <w:b/>
          <w:bCs/>
        </w:rPr>
        <w:t>σχέδιο προϋπολογισμού</w:t>
      </w:r>
      <w:r>
        <w:t xml:space="preserve"> δύναται να εφαρμοσθεί πχ σε πολύπλοκα έργα ΄ππου η κατασκεύη και λειτουργία της υποδομής απαιτούν επί τόπου παραμετροποίηση, αλλά το αναμενόμενο αποτέλεσμα είναι συγκεκριμένο (πχ. εκυπηρέτηση συγκεκριμένου ισοδύναμου κατοίκων με συγκεκριμένενες προδιαγραφές). </w:t>
      </w:r>
    </w:p>
    <w:p w14:paraId="4CE4282A" w14:textId="77777777" w:rsidR="00222D38" w:rsidRDefault="00222D38">
      <w:pPr>
        <w:jc w:val="left"/>
        <w:rPr>
          <w:rFonts w:ascii="EC Square Sans Pro" w:eastAsiaTheme="majorEastAsia" w:hAnsi="EC Square Sans Pro" w:cs="Times New Roman (Titres CS)"/>
          <w:bCs/>
          <w:caps/>
          <w:color w:val="2481C3" w:themeColor="accent4"/>
          <w:sz w:val="36"/>
          <w:szCs w:val="36"/>
        </w:rPr>
      </w:pPr>
      <w:r>
        <w:br w:type="page"/>
      </w:r>
    </w:p>
    <w:p w14:paraId="69512A33" w14:textId="05814FEF" w:rsidR="00860398" w:rsidRDefault="00905FCA" w:rsidP="00860398">
      <w:pPr>
        <w:pStyle w:val="20"/>
        <w:jc w:val="both"/>
        <w:rPr>
          <w:lang w:val="el-GR"/>
        </w:rPr>
      </w:pPr>
      <w:bookmarkStart w:id="6" w:name="_Toc173280263"/>
      <w:r w:rsidRPr="00905FCA">
        <w:rPr>
          <w:lang w:val="el-GR"/>
        </w:rPr>
        <w:lastRenderedPageBreak/>
        <w:t xml:space="preserve">1.4 </w:t>
      </w:r>
      <w:r w:rsidR="00860398" w:rsidRPr="00860398">
        <w:rPr>
          <w:lang w:val="el-GR"/>
        </w:rPr>
        <w:t xml:space="preserve">Γενικά κριτήρια για τη δυνατότητα εφαρμογής των </w:t>
      </w:r>
      <w:r w:rsidR="00860398" w:rsidRPr="00AD4749">
        <w:rPr>
          <w:lang w:val="el-GR"/>
        </w:rPr>
        <w:t>Επιλογ</w:t>
      </w:r>
      <w:r w:rsidR="00860398">
        <w:rPr>
          <w:lang w:val="el-GR"/>
        </w:rPr>
        <w:t>ΩΝ</w:t>
      </w:r>
      <w:r w:rsidR="00860398" w:rsidRPr="00AD4749">
        <w:rPr>
          <w:lang w:val="el-GR"/>
        </w:rPr>
        <w:t xml:space="preserve"> Απλοποιημένου Κόστους</w:t>
      </w:r>
      <w:bookmarkEnd w:id="6"/>
    </w:p>
    <w:p w14:paraId="71BB436A" w14:textId="77777777" w:rsidR="00222D38" w:rsidRPr="00222D38" w:rsidRDefault="00222D38" w:rsidP="00222D38"/>
    <w:p w14:paraId="374FC6B0" w14:textId="63942D77" w:rsidR="00905FCA" w:rsidRDefault="006B4E13" w:rsidP="00860398">
      <w:r>
        <w:t>Η ανάπτυξη και η εφαρμογή ΕΑΚ απαιτεί προεργασία και εμπειρία. Θεωρείται καλή πρακτική οι δικαιούχοι και οι Αρχές να αποκτήσουν εμπειρία με απλούστερες μορφές ΕΑΚ. Κάτωθι παρουσιάζονται οι τύποι ΕΑΚ με βάση την απαιτητικότητα των μεθοδολογιών αλλά και την αποτελεσματικότητα των:</w:t>
      </w:r>
    </w:p>
    <w:p w14:paraId="094B4730" w14:textId="25272E34" w:rsidR="006B4E13" w:rsidRDefault="006B4E13" w:rsidP="006B4E13">
      <w:pPr>
        <w:pStyle w:val="a0"/>
        <w:numPr>
          <w:ilvl w:val="0"/>
          <w:numId w:val="23"/>
        </w:numPr>
      </w:pPr>
      <w:r w:rsidRPr="007E54A1">
        <w:t>κατ’ αποκοπή ποσοστό (flat rate)</w:t>
      </w:r>
      <w:r>
        <w:t>, το πιο εύκολο</w:t>
      </w:r>
    </w:p>
    <w:p w14:paraId="4346F995" w14:textId="24AFDA02" w:rsidR="006B4E13" w:rsidRDefault="006B4E13" w:rsidP="006B4E13">
      <w:pPr>
        <w:pStyle w:val="a0"/>
        <w:numPr>
          <w:ilvl w:val="0"/>
          <w:numId w:val="23"/>
        </w:numPr>
      </w:pPr>
      <w:r w:rsidRPr="007E54A1">
        <w:t xml:space="preserve">μοναδιαίο κόστος (unit cost), </w:t>
      </w:r>
    </w:p>
    <w:p w14:paraId="14E194CF" w14:textId="77777777" w:rsidR="006B4E13" w:rsidRDefault="006B4E13" w:rsidP="006B4E13">
      <w:pPr>
        <w:pStyle w:val="a0"/>
        <w:numPr>
          <w:ilvl w:val="0"/>
          <w:numId w:val="23"/>
        </w:numPr>
      </w:pPr>
      <w:r w:rsidRPr="007E54A1">
        <w:t xml:space="preserve">κατ' αποκοπή ποσό (lump sum), </w:t>
      </w:r>
    </w:p>
    <w:p w14:paraId="2D168E36" w14:textId="28B0C88C" w:rsidR="006B4E13" w:rsidRDefault="006B4E13" w:rsidP="006B4E13">
      <w:pPr>
        <w:pStyle w:val="a0"/>
        <w:numPr>
          <w:ilvl w:val="0"/>
          <w:numId w:val="23"/>
        </w:numPr>
      </w:pPr>
      <w:r>
        <w:t xml:space="preserve">σχέδιο προϋπολογισμού </w:t>
      </w:r>
      <w:r w:rsidRPr="006B4E13">
        <w:t>(</w:t>
      </w:r>
      <w:r>
        <w:rPr>
          <w:lang w:val="en-US"/>
        </w:rPr>
        <w:t>draft</w:t>
      </w:r>
      <w:r w:rsidRPr="006B4E13">
        <w:t xml:space="preserve"> </w:t>
      </w:r>
      <w:r>
        <w:rPr>
          <w:lang w:val="en-US"/>
        </w:rPr>
        <w:t>budget</w:t>
      </w:r>
      <w:r w:rsidRPr="006B4E13">
        <w:t xml:space="preserve">), </w:t>
      </w:r>
      <w:r>
        <w:t>το πιο δύσκολο.</w:t>
      </w:r>
    </w:p>
    <w:p w14:paraId="461B7F2C" w14:textId="77777777" w:rsidR="00222D38" w:rsidRDefault="00222D38" w:rsidP="00860398"/>
    <w:p w14:paraId="74D9BC0C" w14:textId="67FAD33E" w:rsidR="00860398" w:rsidRDefault="00860398" w:rsidP="00860398">
      <w:r>
        <w:t xml:space="preserve">Σημεία που πρέπει να εξεταστούν κατά τη διερεύνηση της ανάγκης </w:t>
      </w:r>
      <w:r w:rsidR="00222D38">
        <w:t xml:space="preserve">και τις δυνατότητας ορισμού </w:t>
      </w:r>
      <w:r>
        <w:t>ΕΑΚ</w:t>
      </w:r>
      <w:r w:rsidR="00222D38">
        <w:t xml:space="preserve"> είναι:</w:t>
      </w:r>
    </w:p>
    <w:p w14:paraId="018124D3" w14:textId="6B34D78F" w:rsidR="00860398" w:rsidRDefault="00222D38" w:rsidP="00222D38">
      <w:pPr>
        <w:pStyle w:val="a0"/>
        <w:numPr>
          <w:ilvl w:val="0"/>
          <w:numId w:val="26"/>
        </w:numPr>
      </w:pPr>
      <w:r w:rsidRPr="00222D38">
        <w:rPr>
          <w:b/>
          <w:bCs/>
        </w:rPr>
        <w:t xml:space="preserve">Υπάρχει μεγάλος </w:t>
      </w:r>
      <w:r w:rsidR="00860398" w:rsidRPr="00222D38">
        <w:rPr>
          <w:b/>
          <w:bCs/>
        </w:rPr>
        <w:t>αριθμός τυποποιημένων πράξεων</w:t>
      </w:r>
      <w:r w:rsidRPr="00222D38">
        <w:rPr>
          <w:b/>
          <w:bCs/>
        </w:rPr>
        <w:t>;</w:t>
      </w:r>
      <w:r>
        <w:t xml:space="preserve"> Οι ΕΑΚ</w:t>
      </w:r>
      <w:r w:rsidR="00860398">
        <w:t xml:space="preserve"> είναι κατάλληλες για </w:t>
      </w:r>
      <w:r>
        <w:t xml:space="preserve">έργα </w:t>
      </w:r>
      <w:r w:rsidR="00860398">
        <w:t>που περιλαμβάνουν πολλ</w:t>
      </w:r>
      <w:r>
        <w:t>ά</w:t>
      </w:r>
      <w:r w:rsidR="00860398">
        <w:t xml:space="preserve"> επαναλαμβανόμεν</w:t>
      </w:r>
      <w:r>
        <w:t xml:space="preserve">α στοιχεία με με </w:t>
      </w:r>
      <w:r w:rsidR="00860398">
        <w:t>υψηλό επίπεδο τυποποίησης· περίπλοκα μη τυποποιημένα έργα φαίνονται εγγενώς λιγότερο κατάλληλα για τις ΕΑΚ και είναι ασφαλέστερα για τη λειτουργία τους με επιλογές πραγματικού κόστους που επιτρέπουν αλλαγές στο σχέδιο του έργου κατά τη διάρκεια της υλοποίησης.</w:t>
      </w:r>
    </w:p>
    <w:p w14:paraId="159E26AB" w14:textId="77777777" w:rsidR="00222D38" w:rsidRDefault="00222D38" w:rsidP="007508EF">
      <w:pPr>
        <w:pStyle w:val="a0"/>
        <w:numPr>
          <w:ilvl w:val="0"/>
          <w:numId w:val="26"/>
        </w:numPr>
      </w:pPr>
      <w:r w:rsidRPr="00222D38">
        <w:rPr>
          <w:b/>
          <w:bCs/>
        </w:rPr>
        <w:t xml:space="preserve">Υπάρχει </w:t>
      </w:r>
      <w:r w:rsidR="00860398" w:rsidRPr="00222D38">
        <w:rPr>
          <w:b/>
          <w:bCs/>
        </w:rPr>
        <w:t>Δυνατότητα μείωσης του διοικητικού φόρτου</w:t>
      </w:r>
      <w:r w:rsidRPr="00222D38">
        <w:rPr>
          <w:b/>
          <w:bCs/>
        </w:rPr>
        <w:t>;</w:t>
      </w:r>
      <w:r>
        <w:t xml:space="preserve"> </w:t>
      </w:r>
      <w:r w:rsidR="00860398">
        <w:t>Οι ΕΑΚ είναι επωφελείς όταν οι πράξεις είναι ιδιαίτερα επαχθείς ή είναι επιρρεπείς σε σφάλματα — με βάση το πραγματικό τους κόστος. Για παράδειγμα, οι διοικητικές δαπάνες αντιπροσωπεύουν συνήθως μόνο ένα μικρό μέρος του συνολικού κόστους, αλλά ο έλεγχος πολλών μικρών στοιχείων κόστους είναι χρονοβόρος και η προσπάθεια δεν είναι ανάλογη προς το συνολικό κόστος. Ακόμη και μικρά μέτρα μπορούν να επιβαρύνουν δυσανάλογα τη διοικητική ικανότητα. Η απλούστευση των δαπανών προσωπικού και των έμμεσων δαπανών εξυπηρετεί ευρύ φάσμα έργων</w:t>
      </w:r>
      <w:r>
        <w:t xml:space="preserve">. </w:t>
      </w:r>
    </w:p>
    <w:p w14:paraId="30EC9B2E" w14:textId="77777777" w:rsidR="00222D38" w:rsidRDefault="00860398" w:rsidP="003E7B4D">
      <w:pPr>
        <w:pStyle w:val="a0"/>
        <w:numPr>
          <w:ilvl w:val="0"/>
          <w:numId w:val="26"/>
        </w:numPr>
      </w:pPr>
      <w:r w:rsidRPr="00222D38">
        <w:rPr>
          <w:b/>
          <w:bCs/>
        </w:rPr>
        <w:t>Οι δικαιούχοι</w:t>
      </w:r>
      <w:r w:rsidR="00222D38" w:rsidRPr="00222D38">
        <w:rPr>
          <w:b/>
          <w:bCs/>
        </w:rPr>
        <w:t xml:space="preserve"> έχουν μεγάλο φόρτο εργασίας σε σχέση με τους πόρους των; </w:t>
      </w:r>
      <w:r>
        <w:t xml:space="preserve">Στις περιπτώσεις αυτές, οι ΕΑΚ με τη μορφή κατ’ αποκοπή </w:t>
      </w:r>
      <w:r w:rsidR="00222D38">
        <w:t>ποσοστών</w:t>
      </w:r>
      <w:r>
        <w:t xml:space="preserve"> ή κατ’ αποκοπή ποσών μπορούν να αποτελέσουν καλή λύση.</w:t>
      </w:r>
    </w:p>
    <w:p w14:paraId="5BE092A6" w14:textId="67F46C39" w:rsidR="00860398" w:rsidRDefault="00860398" w:rsidP="003E7B4D">
      <w:pPr>
        <w:pStyle w:val="a0"/>
        <w:numPr>
          <w:ilvl w:val="0"/>
          <w:numId w:val="26"/>
        </w:numPr>
      </w:pPr>
      <w:r w:rsidRPr="00222D38">
        <w:rPr>
          <w:b/>
          <w:bCs/>
        </w:rPr>
        <w:t>Υπάρχουν αξιόπιστοι δείκτες για τις εκροές ή τα επιτευχθέντα αποτελέσματα</w:t>
      </w:r>
      <w:r w:rsidR="00222D38">
        <w:rPr>
          <w:b/>
          <w:bCs/>
        </w:rPr>
        <w:t xml:space="preserve">; </w:t>
      </w:r>
      <w:r w:rsidR="00222D38" w:rsidRPr="00222D38">
        <w:t xml:space="preserve">Δεδομένης της </w:t>
      </w:r>
      <w:r w:rsidR="00222D38">
        <w:t xml:space="preserve">αφαίρεσης </w:t>
      </w:r>
      <w:r>
        <w:t xml:space="preserve">των τιμολογίων για την επίδειξη των δαπανών, οι ΕΑΚ </w:t>
      </w:r>
      <w:r w:rsidR="00222D38">
        <w:t xml:space="preserve">μεταφέρουν το βάρος της απόδειξης στα </w:t>
      </w:r>
      <w:r>
        <w:t xml:space="preserve">αντιπροσωπευτικά και συνεκτικά δεδομένα σχετικά με τις εκροές ή τα αποτελέσματα (δείκτες) για την επαλήθευση της εφαρμογής. Αυτό είναι ιδιαίτερα σημαντικό </w:t>
      </w:r>
      <w:r w:rsidR="00222D38">
        <w:t>αν χρησιμοποείται η επιλογή</w:t>
      </w:r>
      <w:r>
        <w:t xml:space="preserve"> μοναδιαίου κόστους.</w:t>
      </w:r>
    </w:p>
    <w:p w14:paraId="21CE7ADC" w14:textId="77777777" w:rsidR="00222D38" w:rsidRDefault="00222D38" w:rsidP="00222D38">
      <w:pPr>
        <w:pStyle w:val="a0"/>
        <w:numPr>
          <w:ilvl w:val="0"/>
          <w:numId w:val="26"/>
        </w:numPr>
      </w:pPr>
      <w:r w:rsidRPr="00222D38">
        <w:rPr>
          <w:b/>
          <w:bCs/>
        </w:rPr>
        <w:t>Τα έργα που καλύπτονται από τις ΕΑΚ, έχουν μεγάλο προϋπολογισμό;</w:t>
      </w:r>
      <w:r>
        <w:t xml:space="preserve"> </w:t>
      </w:r>
      <w:r w:rsidR="00860398">
        <w:t xml:space="preserve">Στην ιδανική περίπτωση, η εισαγωγή των ΕΑΚ θα πρέπει να επιτρέπει τον χειρισμό των μεγάλων προϋπολογισμών με σχετικά μικρή διοικητική προσπάθεια. Εάν ένα σημαντικό μέρος του προγράμματος μπορεί να καλυφθεί από </w:t>
      </w:r>
      <w:r>
        <w:t xml:space="preserve">ΕΑΚ. </w:t>
      </w:r>
      <w:r w:rsidR="00860398">
        <w:t xml:space="preserve"> αυτό δικαιολογεί την προσπάθεια που απαιτείται </w:t>
      </w:r>
      <w:r>
        <w:t>τον ορισμό και την έγκριση</w:t>
      </w:r>
      <w:r w:rsidR="00860398">
        <w:t xml:space="preserve"> ΕΑΚ. </w:t>
      </w:r>
    </w:p>
    <w:p w14:paraId="4DC35DF8" w14:textId="77777777" w:rsidR="008B52FF" w:rsidRDefault="008B52FF" w:rsidP="00860398"/>
    <w:p w14:paraId="7E17E557" w14:textId="533FB303" w:rsidR="00860398" w:rsidRDefault="008B52FF" w:rsidP="00860398">
      <w:r>
        <w:t xml:space="preserve">Στην περίπτωση που τα περισσότερα ανωτέρω ερωτημάτα απαντούνται θετικά, η διευρεύνηση ορισμού ΕΑΚ κρίνεται σκόπιμη. </w:t>
      </w:r>
      <w:r w:rsidR="00860398">
        <w:t> </w:t>
      </w:r>
    </w:p>
    <w:p w14:paraId="5227CF56" w14:textId="77777777" w:rsidR="008B52FF" w:rsidRDefault="008B52FF">
      <w:pPr>
        <w:jc w:val="left"/>
        <w:rPr>
          <w:rFonts w:ascii="EC Square Sans Pro" w:eastAsiaTheme="majorEastAsia" w:hAnsi="EC Square Sans Pro" w:cs="Times New Roman (Titres CS)"/>
          <w:bCs/>
          <w:caps/>
          <w:color w:val="2481C3" w:themeColor="accent4"/>
          <w:sz w:val="36"/>
          <w:szCs w:val="36"/>
        </w:rPr>
      </w:pPr>
      <w:r>
        <w:br w:type="page"/>
      </w:r>
    </w:p>
    <w:p w14:paraId="191E5704" w14:textId="2E516152" w:rsidR="008B52FF" w:rsidRDefault="008B52FF" w:rsidP="008B52FF">
      <w:pPr>
        <w:pStyle w:val="20"/>
        <w:jc w:val="both"/>
        <w:rPr>
          <w:lang w:val="el-GR"/>
        </w:rPr>
      </w:pPr>
      <w:bookmarkStart w:id="7" w:name="_Toc173280264"/>
      <w:r w:rsidRPr="00905FCA">
        <w:rPr>
          <w:lang w:val="el-GR"/>
        </w:rPr>
        <w:lastRenderedPageBreak/>
        <w:t>1.</w:t>
      </w:r>
      <w:r>
        <w:rPr>
          <w:lang w:val="el-GR"/>
        </w:rPr>
        <w:t>5</w:t>
      </w:r>
      <w:r w:rsidRPr="00905FCA">
        <w:rPr>
          <w:lang w:val="el-GR"/>
        </w:rPr>
        <w:t xml:space="preserve"> </w:t>
      </w:r>
      <w:r w:rsidRPr="00860398">
        <w:rPr>
          <w:lang w:val="el-GR"/>
        </w:rPr>
        <w:t xml:space="preserve">εφαρμογή των </w:t>
      </w:r>
      <w:r w:rsidRPr="00AD4749">
        <w:rPr>
          <w:lang w:val="el-GR"/>
        </w:rPr>
        <w:t>Επιλογ</w:t>
      </w:r>
      <w:r>
        <w:rPr>
          <w:lang w:val="el-GR"/>
        </w:rPr>
        <w:t>ΩΝ</w:t>
      </w:r>
      <w:r w:rsidRPr="00AD4749">
        <w:rPr>
          <w:lang w:val="el-GR"/>
        </w:rPr>
        <w:t xml:space="preserve"> Απλοποιημένου Κόστους</w:t>
      </w:r>
      <w:r>
        <w:rPr>
          <w:lang w:val="el-GR"/>
        </w:rPr>
        <w:t xml:space="preserve"> ΣΤΟ ΕΤΠΑ και στο ΠΕΠ ΑΜΘ</w:t>
      </w:r>
      <w:bookmarkEnd w:id="7"/>
    </w:p>
    <w:p w14:paraId="1E972441" w14:textId="77777777" w:rsidR="008B52FF" w:rsidRDefault="008B52FF" w:rsidP="008B52FF"/>
    <w:p w14:paraId="6D4E56FC" w14:textId="221B8751" w:rsidR="008B52FF" w:rsidRDefault="008B52FF" w:rsidP="008B52FF">
      <w:r>
        <w:t>Ο ΚΚΔ 2021-2027 προβλέπει πως οι δικαιούχοι λαμβάνουν την επιχορήγηση υποχρεωτικά με τη μορφή ΕΑΚ, χρησιμοποιώντας έναν ή περισσότερους από τις τρεις τύπους: μοναδιαίο κόστος (unit cost), κατ' αποκοπή ποσό (lump sum), κατ’ αποκοπή ποσοστό (flat rate) ή συνδυασμό αυτών, εφόσον οι πράξεις ικανοποιούν σωρευτικά τα παρακάτω κριτήρια:</w:t>
      </w:r>
    </w:p>
    <w:p w14:paraId="3E6F083D" w14:textId="3798625A" w:rsidR="008B52FF" w:rsidRDefault="008B52FF" w:rsidP="008B52FF">
      <w:pPr>
        <w:ind w:left="426"/>
      </w:pPr>
      <w:r>
        <w:t>α) έχουν συνολικό κόστος όπως αυτό αποτυπώνεται στην απόφασης ένταξης που δεν υπερβαίνει τις 200.000 € (</w:t>
      </w:r>
      <w:r w:rsidRPr="008B52FF">
        <w:t>Αφορά στο συνολικό κόστος της πράξης και όχι στην επιλέξιμη δημόσια δαπάνη αυτής</w:t>
      </w:r>
      <w:r>
        <w:t>),</w:t>
      </w:r>
    </w:p>
    <w:p w14:paraId="48B022BE" w14:textId="3B389107" w:rsidR="008B52FF" w:rsidRDefault="008B52FF" w:rsidP="008B52FF">
      <w:pPr>
        <w:ind w:left="426"/>
      </w:pPr>
      <w:r>
        <w:t>β) χρηματοδοτούνται από ΕΚΤ+, ΕΤΠΑ, ΤΔΜ,</w:t>
      </w:r>
    </w:p>
    <w:p w14:paraId="6CEE71C7" w14:textId="7675D32D" w:rsidR="008B52FF" w:rsidRDefault="008B52FF" w:rsidP="008B52FF">
      <w:pPr>
        <w:ind w:left="426"/>
      </w:pPr>
      <w:r>
        <w:t>γ) δεν αποτελούν κρατική ενίσχυση βάσει ΓΑΚ ή άλλου καθεστώτος (διαδικασία κοινοποίησης στην ΕΕ),</w:t>
      </w:r>
    </w:p>
    <w:p w14:paraId="6B0E2AD1" w14:textId="685D2A32" w:rsidR="008B52FF" w:rsidRDefault="008B52FF" w:rsidP="008B52FF">
      <w:pPr>
        <w:ind w:left="426"/>
      </w:pPr>
      <w:r>
        <w:t>δ) δεν εμπίπτουν στον τομέα έρευνας και ανάπτυξης (στην περίπτωση που εμπίπτουν στον τομέα αυτό, με έγκριση της Επιτροπής Παρακολούθησης του Προγράμματος δύνανται να εξαιρεθούν από την υποχρεωτική χρήση απλοποιημένου κόστους).</w:t>
      </w:r>
    </w:p>
    <w:p w14:paraId="1B6FCC38" w14:textId="77777777" w:rsidR="008B52FF" w:rsidRDefault="008B52FF" w:rsidP="008B52FF"/>
    <w:p w14:paraId="7F06201A" w14:textId="40C6AA51" w:rsidR="008B52FF" w:rsidRDefault="008B52FF" w:rsidP="008B52FF">
      <w:r>
        <w:t xml:space="preserve">Στην περίπτωση των έργων </w:t>
      </w:r>
      <w:r w:rsidRPr="00E57657">
        <w:t>Έργων και Υποδομών</w:t>
      </w:r>
      <w:r>
        <w:t xml:space="preserve"> Ύδατος που θα ενταχθούν στο ΠΕΠ ΑΜΘ 2021-2027 έχουν εφαρμογή τα σημεία β, γ και δ. Αντίθετα τα έργα πιθανότατα θα έχουν συνολικό κόστος άνω των 200.000 €, οπότε η εφαρμογή ΕΑΚ δεν είναι υποχρεωτική. </w:t>
      </w:r>
    </w:p>
    <w:p w14:paraId="034DE6E0" w14:textId="27015455" w:rsidR="008B52FF" w:rsidRPr="008B52FF" w:rsidRDefault="008B52FF" w:rsidP="008B52FF">
      <w:r>
        <w:t xml:space="preserve">Λόγων των ερωτημάτων που τέθησαν στο κεφάλαιο 1.4 </w:t>
      </w:r>
      <w:r w:rsidRPr="008B52FF">
        <w:t>ΓΕΝΙΚΑ ΚΡΙΤΗΡΙΑ ΓΙΑ ΤΗ ΔΥΝΑΤΟΤΗΤΑ ΕΦΑΡΜΟΓΗΣ ΤΩΝ ΕΠΙΛΟΓΩΝ ΑΠΛΟΠΟΙΗΜΕΝΟΥ ΚΟΣΤΟΥΣ</w:t>
      </w:r>
      <w:r>
        <w:t xml:space="preserve"> κρίνεται σκόπιμη η διευρεύνηση ορισμού ΕΑΚ αρχικά ως κατ’αποκοπή ποσοστών, με σκοπό αργότερα τον ορισμό μοναδιαίου κόστους και σχεδιών προϋπολογισμού. </w:t>
      </w:r>
    </w:p>
    <w:sectPr w:rsidR="008B52FF" w:rsidRPr="008B52FF" w:rsidSect="008B52FF">
      <w:pgSz w:w="11906" w:h="16838"/>
      <w:pgMar w:top="2152" w:right="1417" w:bottom="874" w:left="1417" w:header="708" w:footer="414"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894E8B" w14:textId="77777777" w:rsidR="00843614" w:rsidRPr="00AF3E0C" w:rsidRDefault="00843614" w:rsidP="00780C62">
      <w:pPr>
        <w:spacing w:after="0" w:line="240" w:lineRule="auto"/>
      </w:pPr>
      <w:r w:rsidRPr="00AF3E0C">
        <w:separator/>
      </w:r>
    </w:p>
  </w:endnote>
  <w:endnote w:type="continuationSeparator" w:id="0">
    <w:p w14:paraId="6B408C67" w14:textId="77777777" w:rsidR="00843614" w:rsidRPr="00AF3E0C" w:rsidRDefault="00843614" w:rsidP="00780C62">
      <w:pPr>
        <w:spacing w:after="0" w:line="240" w:lineRule="auto"/>
      </w:pPr>
      <w:r w:rsidRPr="00AF3E0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Calibri">
    <w:panose1 w:val="020F0502020204030204"/>
    <w:charset w:val="A1"/>
    <w:family w:val="swiss"/>
    <w:pitch w:val="variable"/>
    <w:sig w:usb0="E4002EFF" w:usb1="C000247B" w:usb2="00000009" w:usb3="00000000" w:csb0="000001FF" w:csb1="00000000"/>
    <w:embedRegular r:id="rId1" w:fontKey="{51C7563B-6621-4CA8-B4FF-C253194CAEA1}"/>
  </w:font>
  <w:font w:name="Arial Unicode MS">
    <w:panose1 w:val="020B0604020202020204"/>
    <w:charset w:val="80"/>
    <w:family w:val="swiss"/>
    <w:pitch w:val="variable"/>
    <w:sig w:usb0="F7FFAFFF" w:usb1="E9DFFFFF" w:usb2="0000003F" w:usb3="00000000" w:csb0="003F01FF" w:csb1="00000000"/>
  </w:font>
  <w:font w:name="EC Square Sans Pro">
    <w:altName w:val="Cambria"/>
    <w:panose1 w:val="00000000000000000000"/>
    <w:charset w:val="00"/>
    <w:family w:val="swiss"/>
    <w:notTrueType/>
    <w:pitch w:val="variable"/>
    <w:sig w:usb0="00000287" w:usb1="00000001" w:usb2="00000000" w:usb3="00000000" w:csb0="0000019F" w:csb1="00000000"/>
  </w:font>
  <w:font w:name="EC Square Sans Pro Light">
    <w:altName w:val="Cambria"/>
    <w:panose1 w:val="00000000000000000000"/>
    <w:charset w:val="00"/>
    <w:family w:val="swiss"/>
    <w:notTrueType/>
    <w:pitch w:val="variable"/>
    <w:sig w:usb0="00000287" w:usb1="00000001" w:usb2="00000000" w:usb3="00000000" w:csb0="0000019F" w:csb1="00000000"/>
  </w:font>
  <w:font w:name="Times New Roman (Titres CS)">
    <w:altName w:val="Times New Roman"/>
    <w:panose1 w:val="00000000000000000000"/>
    <w:charset w:val="00"/>
    <w:family w:val="roman"/>
    <w:notTrueType/>
    <w:pitch w:val="default"/>
  </w:font>
  <w:font w:name="Minion Pro">
    <w:panose1 w:val="00000000000000000000"/>
    <w:charset w:val="00"/>
    <w:family w:val="roman"/>
    <w:notTrueType/>
    <w:pitch w:val="variable"/>
    <w:sig w:usb0="60000287" w:usb1="00000001" w:usb2="00000000" w:usb3="00000000" w:csb0="0000019F" w:csb1="00000000"/>
  </w:font>
  <w:font w:name="Tahoma">
    <w:panose1 w:val="020B0604030504040204"/>
    <w:charset w:val="A1"/>
    <w:family w:val="swiss"/>
    <w:pitch w:val="variable"/>
    <w:sig w:usb0="E1002EFF" w:usb1="C000605B" w:usb2="00000029" w:usb3="00000000" w:csb0="000101FF" w:csb1="00000000"/>
    <w:embedRegular r:id="rId2" w:fontKey="{134295B6-D1D0-4988-B5B2-D4A46DBD0411}"/>
  </w:font>
  <w:font w:name="Verdana">
    <w:panose1 w:val="020B0604030504040204"/>
    <w:charset w:val="A1"/>
    <w:family w:val="swiss"/>
    <w:pitch w:val="variable"/>
    <w:sig w:usb0="A00006FF" w:usb1="4000205B" w:usb2="00000010" w:usb3="00000000" w:csb0="0000019F" w:csb1="00000000"/>
    <w:embedRegular r:id="rId3" w:fontKey="{04E9D23C-EA85-408E-995F-5E4E536E1672}"/>
  </w:font>
  <w:font w:name="Arial">
    <w:panose1 w:val="020B0604020202020204"/>
    <w:charset w:val="A1"/>
    <w:family w:val="swiss"/>
    <w:pitch w:val="variable"/>
    <w:sig w:usb0="E0002EFF" w:usb1="C000785B" w:usb2="00000009" w:usb3="00000000" w:csb0="000001FF" w:csb1="00000000"/>
  </w:font>
  <w:font w:name="Arial Narrow">
    <w:panose1 w:val="020B0606020202030204"/>
    <w:charset w:val="A1"/>
    <w:family w:val="swiss"/>
    <w:pitch w:val="variable"/>
    <w:sig w:usb0="00000287" w:usb1="00000800" w:usb2="00000000" w:usb3="00000000" w:csb0="0000009F" w:csb1="00000000"/>
    <w:embedRegular r:id="rId4" w:fontKey="{690915E8-1CC4-49B1-A135-6034F38FC8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ad"/>
      </w:rPr>
      <w:id w:val="1568449813"/>
      <w:docPartObj>
        <w:docPartGallery w:val="Page Numbers (Bottom of Page)"/>
        <w:docPartUnique/>
      </w:docPartObj>
    </w:sdtPr>
    <w:sdtContent>
      <w:p w14:paraId="45681AFD" w14:textId="053326C9" w:rsidR="000D5C11" w:rsidRPr="00AF3E0C" w:rsidRDefault="000D5C11" w:rsidP="00726D1A">
        <w:pPr>
          <w:pStyle w:val="ab"/>
          <w:framePr w:wrap="none" w:vAnchor="text" w:hAnchor="margin" w:xAlign="right" w:y="1"/>
          <w:rPr>
            <w:rStyle w:val="ad"/>
          </w:rPr>
        </w:pPr>
        <w:r w:rsidRPr="00AF3E0C">
          <w:rPr>
            <w:rStyle w:val="ad"/>
          </w:rPr>
          <w:fldChar w:fldCharType="begin"/>
        </w:r>
        <w:r w:rsidRPr="00AF3E0C">
          <w:rPr>
            <w:rStyle w:val="ad"/>
          </w:rPr>
          <w:instrText xml:space="preserve"> PAGE </w:instrText>
        </w:r>
        <w:r w:rsidRPr="00AF3E0C">
          <w:rPr>
            <w:rStyle w:val="ad"/>
          </w:rPr>
          <w:fldChar w:fldCharType="separate"/>
        </w:r>
        <w:r w:rsidRPr="00AF3E0C">
          <w:rPr>
            <w:rStyle w:val="ad"/>
          </w:rPr>
          <w:t>0</w:t>
        </w:r>
        <w:r w:rsidRPr="00AF3E0C">
          <w:rPr>
            <w:rStyle w:val="ad"/>
          </w:rPr>
          <w:fldChar w:fldCharType="end"/>
        </w:r>
      </w:p>
    </w:sdtContent>
  </w:sdt>
  <w:p w14:paraId="18C3C95F" w14:textId="77777777" w:rsidR="000D5C11" w:rsidRPr="00AF3E0C" w:rsidRDefault="000D5C11" w:rsidP="000D5C11">
    <w:pPr>
      <w:pStyle w:val="ab"/>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F05666" w14:textId="77777777" w:rsidR="00843614" w:rsidRPr="00AF3E0C" w:rsidRDefault="00843614" w:rsidP="00780C62">
      <w:pPr>
        <w:spacing w:after="0" w:line="240" w:lineRule="auto"/>
      </w:pPr>
      <w:r w:rsidRPr="00AF3E0C">
        <w:separator/>
      </w:r>
    </w:p>
  </w:footnote>
  <w:footnote w:type="continuationSeparator" w:id="0">
    <w:p w14:paraId="451DE8F1" w14:textId="77777777" w:rsidR="00843614" w:rsidRPr="00AF3E0C" w:rsidRDefault="00843614" w:rsidP="00780C62">
      <w:pPr>
        <w:spacing w:after="0" w:line="240" w:lineRule="auto"/>
      </w:pPr>
      <w:r w:rsidRPr="00AF3E0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75C98F" w14:textId="2E85313D" w:rsidR="002C030C" w:rsidRPr="00AD4749" w:rsidRDefault="00ED7C07">
    <w:pPr>
      <w:pStyle w:val="aa"/>
      <w:rPr>
        <w:lang w:val="en-US"/>
      </w:rPr>
    </w:pPr>
    <w:r w:rsidRPr="00AF3E0C">
      <w:rPr>
        <w:noProof/>
      </w:rPr>
      <w:drawing>
        <wp:anchor distT="0" distB="0" distL="114300" distR="114300" simplePos="0" relativeHeight="251664384" behindDoc="1" locked="0" layoutInCell="1" allowOverlap="1" wp14:anchorId="3AC6D3B0" wp14:editId="16FD62E0">
          <wp:simplePos x="0" y="0"/>
          <wp:positionH relativeFrom="page">
            <wp:posOffset>6769735</wp:posOffset>
          </wp:positionH>
          <wp:positionV relativeFrom="page">
            <wp:posOffset>158848</wp:posOffset>
          </wp:positionV>
          <wp:extent cx="619125" cy="1083310"/>
          <wp:effectExtent l="0" t="0" r="3175" b="0"/>
          <wp:wrapNone/>
          <wp:docPr id="22" name="Image 22">
            <a:extLst xmlns:a="http://schemas.openxmlformats.org/drawingml/2006/main">
              <a:ext uri="{FF2B5EF4-FFF2-40B4-BE49-F238E27FC236}">
                <a16:creationId xmlns:a16="http://schemas.microsoft.com/office/drawing/2014/main" id="{8465A02B-8CCC-857C-4691-098333622E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a:extLst>
                      <a:ext uri="{FF2B5EF4-FFF2-40B4-BE49-F238E27FC236}">
                        <a16:creationId xmlns:a16="http://schemas.microsoft.com/office/drawing/2014/main" id="{8465A02B-8CCC-857C-4691-098333622ECD}"/>
                      </a:ext>
                    </a:extLst>
                  </pic:cNvPr>
                  <pic:cNvPicPr>
                    <a:picLocks noChangeAspect="1"/>
                  </pic:cNvPicPr>
                </pic:nvPicPr>
                <pic:blipFill rotWithShape="1">
                  <a:blip r:embed="rId1">
                    <a:extLst>
                      <a:ext uri="{28A0092B-C50C-407E-A947-70E740481C1C}">
                        <a14:useLocalDpi xmlns:a14="http://schemas.microsoft.com/office/drawing/2010/main" val="0"/>
                      </a:ext>
                    </a:extLst>
                  </a:blip>
                  <a:srcRect l="-2308" t="-5294" r="-4180" b="-3422"/>
                  <a:stretch/>
                </pic:blipFill>
                <pic:spPr>
                  <a:xfrm>
                    <a:off x="0" y="0"/>
                    <a:ext cx="619125" cy="1083310"/>
                  </a:xfrm>
                  <a:prstGeom prst="rect">
                    <a:avLst/>
                  </a:prstGeom>
                </pic:spPr>
              </pic:pic>
            </a:graphicData>
          </a:graphic>
          <wp14:sizeRelH relativeFrom="page">
            <wp14:pctWidth>0</wp14:pctWidth>
          </wp14:sizeRelH>
          <wp14:sizeRelV relativeFrom="page">
            <wp14:pctHeight>0</wp14:pctHeight>
          </wp14:sizeRelV>
        </wp:anchor>
      </w:drawing>
    </w:r>
    <w:sdt>
      <w:sdtPr>
        <w:rPr>
          <w:color w:val="595959" w:themeColor="text1" w:themeTint="A6"/>
          <w:sz w:val="18"/>
          <w:szCs w:val="18"/>
          <w:lang w:val="en-US"/>
        </w:rPr>
        <w:alias w:val="Titre"/>
        <w:tag w:val=""/>
        <w:id w:val="989213098"/>
        <w:dataBinding w:prefixMappings="xmlns:ns0='http://purl.org/dc/elements/1.1/' xmlns:ns1='http://schemas.openxmlformats.org/package/2006/metadata/core-properties' " w:xpath="/ns1:coreProperties[1]/ns0:title[1]" w:storeItemID="{6C3C8BC8-F283-45AE-878A-BAB7291924A1}"/>
        <w:text/>
      </w:sdtPr>
      <w:sdtContent>
        <w:r w:rsidR="00EA49B0">
          <w:rPr>
            <w:color w:val="595959" w:themeColor="text1" w:themeTint="A6"/>
            <w:sz w:val="18"/>
            <w:szCs w:val="18"/>
            <w:lang w:val="en-US"/>
          </w:rPr>
          <w:t xml:space="preserve">Water Projects based on Holistic Approach: Guidance on Simplified Cost Options </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9FDE50" w14:textId="0B9B9491" w:rsidR="00780C62" w:rsidRPr="00AF3E0C" w:rsidRDefault="001528AC">
    <w:pPr>
      <w:pStyle w:val="aa"/>
    </w:pPr>
    <w:r w:rsidRPr="00AF3E0C">
      <w:rPr>
        <w:noProof/>
      </w:rPr>
      <w:drawing>
        <wp:anchor distT="0" distB="0" distL="114300" distR="114300" simplePos="0" relativeHeight="251659264" behindDoc="1" locked="0" layoutInCell="1" allowOverlap="1" wp14:anchorId="39F89F47" wp14:editId="10952A0B">
          <wp:simplePos x="0" y="0"/>
          <wp:positionH relativeFrom="page">
            <wp:posOffset>-6398260</wp:posOffset>
          </wp:positionH>
          <wp:positionV relativeFrom="page">
            <wp:align>top</wp:align>
          </wp:positionV>
          <wp:extent cx="15119985" cy="10720705"/>
          <wp:effectExtent l="0" t="0" r="5715" b="4445"/>
          <wp:wrapNone/>
          <wp:docPr id="24" name="Image 24">
            <a:extLst xmlns:a="http://schemas.openxmlformats.org/drawingml/2006/main">
              <a:ext uri="{FF2B5EF4-FFF2-40B4-BE49-F238E27FC236}">
                <a16:creationId xmlns:a16="http://schemas.microsoft.com/office/drawing/2014/main" id="{57DBBF65-557B-DCEB-D9D5-38DA14575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a:extLst>
                      <a:ext uri="{FF2B5EF4-FFF2-40B4-BE49-F238E27FC236}">
                        <a16:creationId xmlns:a16="http://schemas.microsoft.com/office/drawing/2014/main" id="{57DBBF65-557B-DCEB-D9D5-38DA14575CDA}"/>
                      </a:ext>
                    </a:extLst>
                  </pic:cNvPr>
                  <pic:cNvPicPr>
                    <a:picLocks noChangeAspect="1"/>
                  </pic:cNvPicPr>
                </pic:nvPicPr>
                <pic:blipFill>
                  <a:blip r:embed="rId1" cstate="email">
                    <a:extLst>
                      <a:ext uri="{28A0092B-C50C-407E-A947-70E740481C1C}">
                        <a14:useLocalDpi xmlns:a14="http://schemas.microsoft.com/office/drawing/2010/main"/>
                      </a:ext>
                    </a:extLst>
                  </a:blip>
                  <a:srcRect/>
                  <a:stretch>
                    <a:fillRect/>
                  </a:stretch>
                </pic:blipFill>
                <pic:spPr>
                  <a:xfrm>
                    <a:off x="0" y="0"/>
                    <a:ext cx="15120000" cy="10720800"/>
                  </a:xfrm>
                  <a:prstGeom prst="rect">
                    <a:avLst/>
                  </a:prstGeom>
                </pic:spPr>
              </pic:pic>
            </a:graphicData>
          </a:graphic>
          <wp14:sizeRelH relativeFrom="page">
            <wp14:pctWidth>0</wp14:pctWidth>
          </wp14:sizeRelH>
          <wp14:sizeRelV relativeFrom="page">
            <wp14:pctHeight>0</wp14:pctHeight>
          </wp14:sizeRelV>
        </wp:anchor>
      </w:drawing>
    </w:r>
    <w:r w:rsidR="00780C62" w:rsidRPr="00AF3E0C">
      <w:rPr>
        <w:noProof/>
      </w:rPr>
      <w:drawing>
        <wp:anchor distT="0" distB="0" distL="114300" distR="114300" simplePos="0" relativeHeight="251661312" behindDoc="0" locked="0" layoutInCell="1" allowOverlap="1" wp14:anchorId="68D4BCAA" wp14:editId="51CDDFCB">
          <wp:simplePos x="0" y="0"/>
          <wp:positionH relativeFrom="column">
            <wp:posOffset>-379290</wp:posOffset>
          </wp:positionH>
          <wp:positionV relativeFrom="paragraph">
            <wp:posOffset>774309</wp:posOffset>
          </wp:positionV>
          <wp:extent cx="6650355" cy="4714875"/>
          <wp:effectExtent l="0" t="0" r="4445" b="0"/>
          <wp:wrapThrough wrapText="bothSides">
            <wp:wrapPolygon edited="0">
              <wp:start x="13860" y="931"/>
              <wp:lineTo x="13365" y="1105"/>
              <wp:lineTo x="11880" y="1804"/>
              <wp:lineTo x="11673" y="2153"/>
              <wp:lineTo x="11013" y="2909"/>
              <wp:lineTo x="10436" y="3840"/>
              <wp:lineTo x="10065" y="4771"/>
              <wp:lineTo x="9817" y="5702"/>
              <wp:lineTo x="9652" y="6633"/>
              <wp:lineTo x="9652" y="6807"/>
              <wp:lineTo x="10023" y="7564"/>
              <wp:lineTo x="1114" y="7680"/>
              <wp:lineTo x="41" y="7738"/>
              <wp:lineTo x="0" y="8902"/>
              <wp:lineTo x="0" y="10764"/>
              <wp:lineTo x="165" y="11287"/>
              <wp:lineTo x="165" y="11695"/>
              <wp:lineTo x="4084" y="12218"/>
              <wp:lineTo x="7177" y="12218"/>
              <wp:lineTo x="6146" y="12567"/>
              <wp:lineTo x="4496" y="13149"/>
              <wp:lineTo x="619" y="13149"/>
              <wp:lineTo x="412" y="13440"/>
              <wp:lineTo x="371" y="15651"/>
              <wp:lineTo x="619" y="15767"/>
              <wp:lineTo x="7260" y="15942"/>
              <wp:lineTo x="7549" y="16873"/>
              <wp:lineTo x="1774" y="17571"/>
              <wp:lineTo x="1774" y="20480"/>
              <wp:lineTo x="11385" y="20596"/>
              <wp:lineTo x="17490" y="20596"/>
              <wp:lineTo x="17820" y="20480"/>
              <wp:lineTo x="19263" y="19782"/>
              <wp:lineTo x="19304" y="19665"/>
              <wp:lineTo x="20212" y="18735"/>
              <wp:lineTo x="20789" y="17804"/>
              <wp:lineTo x="21161" y="16873"/>
              <wp:lineTo x="21408" y="15942"/>
              <wp:lineTo x="21573" y="15011"/>
              <wp:lineTo x="21573" y="13149"/>
              <wp:lineTo x="21532" y="12218"/>
              <wp:lineTo x="21284" y="11287"/>
              <wp:lineTo x="20954" y="10356"/>
              <wp:lineTo x="20501" y="9425"/>
              <wp:lineTo x="20542" y="9076"/>
              <wp:lineTo x="19717" y="8495"/>
              <wp:lineTo x="19181" y="8495"/>
              <wp:lineTo x="19140" y="6633"/>
              <wp:lineTo x="18975" y="5702"/>
              <wp:lineTo x="18727" y="4771"/>
              <wp:lineTo x="18315" y="3840"/>
              <wp:lineTo x="17778" y="2909"/>
              <wp:lineTo x="17118" y="2153"/>
              <wp:lineTo x="16912" y="1804"/>
              <wp:lineTo x="15427" y="1105"/>
              <wp:lineTo x="14932" y="931"/>
              <wp:lineTo x="13860" y="931"/>
            </wp:wrapPolygon>
          </wp:wrapThrough>
          <wp:docPr id="23" name="Image 23">
            <a:extLst xmlns:a="http://schemas.openxmlformats.org/drawingml/2006/main">
              <a:ext uri="{FF2B5EF4-FFF2-40B4-BE49-F238E27FC236}">
                <a16:creationId xmlns:a16="http://schemas.microsoft.com/office/drawing/2014/main" id="{57DBBF65-557B-DCEB-D9D5-38DA14575C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a:extLst>
                      <a:ext uri="{FF2B5EF4-FFF2-40B4-BE49-F238E27FC236}">
                        <a16:creationId xmlns:a16="http://schemas.microsoft.com/office/drawing/2014/main" id="{57DBBF65-557B-DCEB-D9D5-38DA14575CDA}"/>
                      </a:ext>
                    </a:extLst>
                  </pic:cNvPr>
                  <pic:cNvPicPr>
                    <a:picLocks noChangeAspect="1"/>
                  </pic:cNvPicPr>
                </pic:nvPicPr>
                <pic:blipFill rotWithShape="1">
                  <a:blip r:embed="rId2">
                    <a:extLst>
                      <a:ext uri="{28A0092B-C50C-407E-A947-70E740481C1C}">
                        <a14:useLocalDpi xmlns:a14="http://schemas.microsoft.com/office/drawing/2010/main" val="0"/>
                      </a:ext>
                    </a:extLst>
                  </a:blip>
                  <a:srcRect t="-5438" b="-5438"/>
                  <a:stretch/>
                </pic:blipFill>
                <pic:spPr>
                  <a:xfrm>
                    <a:off x="0" y="0"/>
                    <a:ext cx="6650355" cy="47148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1D6C7D0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60.6pt;height:88.2pt;visibility:visible" o:bullet="t">
        <v:imagedata r:id="rId1" o:title="image2"/>
      </v:shape>
    </w:pict>
  </w:numPicBullet>
  <w:abstractNum w:abstractNumId="0" w15:restartNumberingAfterBreak="0">
    <w:nsid w:val="055F30A3"/>
    <w:multiLevelType w:val="hybridMultilevel"/>
    <w:tmpl w:val="6FD0DCFA"/>
    <w:numStyleLink w:val="ImportedStyle4"/>
  </w:abstractNum>
  <w:abstractNum w:abstractNumId="1" w15:restartNumberingAfterBreak="0">
    <w:nsid w:val="0CFD7AD9"/>
    <w:multiLevelType w:val="multilevel"/>
    <w:tmpl w:val="EACC4D3C"/>
    <w:styleLink w:val="CowiBulletList"/>
    <w:lvl w:ilvl="0">
      <w:start w:val="1"/>
      <w:numFmt w:val="bullet"/>
      <w:pStyle w:val="a"/>
      <w:lvlText w:val="›"/>
      <w:lvlJc w:val="left"/>
      <w:pPr>
        <w:tabs>
          <w:tab w:val="num" w:pos="425"/>
        </w:tabs>
        <w:ind w:left="425" w:hanging="425"/>
      </w:pPr>
      <w:rPr>
        <w:rFonts w:hint="default"/>
        <w:color w:val="F04E23"/>
        <w:position w:val="0"/>
        <w:sz w:val="24"/>
      </w:rPr>
    </w:lvl>
    <w:lvl w:ilvl="1">
      <w:start w:val="1"/>
      <w:numFmt w:val="bullet"/>
      <w:pStyle w:val="2"/>
      <w:lvlText w:val="›"/>
      <w:lvlJc w:val="left"/>
      <w:pPr>
        <w:tabs>
          <w:tab w:val="num" w:pos="851"/>
        </w:tabs>
        <w:ind w:left="851" w:hanging="426"/>
      </w:pPr>
      <w:rPr>
        <w:rFonts w:hint="default"/>
        <w:color w:val="333333"/>
        <w:position w:val="0"/>
        <w:sz w:val="24"/>
      </w:rPr>
    </w:lvl>
    <w:lvl w:ilvl="2">
      <w:start w:val="1"/>
      <w:numFmt w:val="bullet"/>
      <w:pStyle w:val="3"/>
      <w:lvlText w:val="›"/>
      <w:lvlJc w:val="left"/>
      <w:pPr>
        <w:tabs>
          <w:tab w:val="num" w:pos="1276"/>
        </w:tabs>
        <w:ind w:left="1276" w:hanging="425"/>
      </w:pPr>
      <w:rPr>
        <w:rFonts w:hint="default"/>
        <w:color w:val="333333"/>
        <w:position w:val="0"/>
        <w:sz w:val="24"/>
      </w:rPr>
    </w:lvl>
    <w:lvl w:ilvl="3">
      <w:start w:val="1"/>
      <w:numFmt w:val="bullet"/>
      <w:pStyle w:val="4"/>
      <w:lvlText w:val="-"/>
      <w:lvlJc w:val="left"/>
      <w:pPr>
        <w:tabs>
          <w:tab w:val="num" w:pos="1701"/>
        </w:tabs>
        <w:ind w:left="1701" w:hanging="425"/>
      </w:pPr>
      <w:rPr>
        <w:rFonts w:hint="default"/>
      </w:rPr>
    </w:lvl>
    <w:lvl w:ilvl="4">
      <w:start w:val="1"/>
      <w:numFmt w:val="lowerLetter"/>
      <w:lvlText w:val="(%5)"/>
      <w:lvlJc w:val="left"/>
      <w:pPr>
        <w:tabs>
          <w:tab w:val="num" w:pos="0"/>
        </w:tabs>
        <w:ind w:left="1800" w:hanging="360"/>
      </w:pPr>
      <w:rPr>
        <w:rFonts w:hint="default"/>
      </w:rPr>
    </w:lvl>
    <w:lvl w:ilvl="5">
      <w:start w:val="1"/>
      <w:numFmt w:val="lowerRoman"/>
      <w:lvlText w:val="(%6)"/>
      <w:lvlJc w:val="left"/>
      <w:pPr>
        <w:tabs>
          <w:tab w:val="num" w:pos="0"/>
        </w:tabs>
        <w:ind w:left="2160" w:hanging="360"/>
      </w:pPr>
      <w:rPr>
        <w:rFonts w:hint="default"/>
      </w:rPr>
    </w:lvl>
    <w:lvl w:ilvl="6">
      <w:start w:val="1"/>
      <w:numFmt w:val="decimal"/>
      <w:lvlText w:val="%7."/>
      <w:lvlJc w:val="left"/>
      <w:pPr>
        <w:tabs>
          <w:tab w:val="num" w:pos="0"/>
        </w:tabs>
        <w:ind w:left="2520" w:hanging="360"/>
      </w:pPr>
      <w:rPr>
        <w:rFonts w:hint="default"/>
      </w:rPr>
    </w:lvl>
    <w:lvl w:ilvl="7">
      <w:start w:val="1"/>
      <w:numFmt w:val="lowerLetter"/>
      <w:lvlText w:val="%8."/>
      <w:lvlJc w:val="left"/>
      <w:pPr>
        <w:tabs>
          <w:tab w:val="num" w:pos="0"/>
        </w:tabs>
        <w:ind w:left="2880" w:hanging="360"/>
      </w:pPr>
      <w:rPr>
        <w:rFonts w:hint="default"/>
      </w:rPr>
    </w:lvl>
    <w:lvl w:ilvl="8">
      <w:start w:val="1"/>
      <w:numFmt w:val="lowerRoman"/>
      <w:lvlText w:val="%9."/>
      <w:lvlJc w:val="left"/>
      <w:pPr>
        <w:tabs>
          <w:tab w:val="num" w:pos="0"/>
        </w:tabs>
        <w:ind w:left="3240" w:hanging="360"/>
      </w:pPr>
      <w:rPr>
        <w:rFonts w:hint="default"/>
      </w:rPr>
    </w:lvl>
  </w:abstractNum>
  <w:abstractNum w:abstractNumId="2" w15:restartNumberingAfterBreak="0">
    <w:nsid w:val="12BC5F70"/>
    <w:multiLevelType w:val="hybridMultilevel"/>
    <w:tmpl w:val="460CA8E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752531B"/>
    <w:multiLevelType w:val="hybridMultilevel"/>
    <w:tmpl w:val="C4EC3648"/>
    <w:numStyleLink w:val="ImportedStyle6"/>
  </w:abstractNum>
  <w:abstractNum w:abstractNumId="4" w15:restartNumberingAfterBreak="0">
    <w:nsid w:val="1A08564E"/>
    <w:multiLevelType w:val="hybridMultilevel"/>
    <w:tmpl w:val="0CEE55EA"/>
    <w:lvl w:ilvl="0" w:tplc="04080001">
      <w:start w:val="1"/>
      <w:numFmt w:val="bullet"/>
      <w:lvlText w:val=""/>
      <w:lvlJc w:val="left"/>
      <w:pPr>
        <w:ind w:left="720" w:hanging="360"/>
      </w:pPr>
      <w:rPr>
        <w:rFonts w:ascii="Symbol" w:hAnsi="Symbol" w:hint="default"/>
      </w:rPr>
    </w:lvl>
    <w:lvl w:ilvl="1" w:tplc="0408000F">
      <w:start w:val="1"/>
      <w:numFmt w:val="decimal"/>
      <w:lvlText w:val="%2."/>
      <w:lvlJc w:val="left"/>
      <w:pPr>
        <w:ind w:left="1440" w:hanging="360"/>
      </w:p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BBF307E"/>
    <w:multiLevelType w:val="hybridMultilevel"/>
    <w:tmpl w:val="03F0808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2A38588B"/>
    <w:multiLevelType w:val="hybridMultilevel"/>
    <w:tmpl w:val="F8881BA6"/>
    <w:lvl w:ilvl="0" w:tplc="F2D6BE84">
      <w:start w:val="1"/>
      <w:numFmt w:val="decimal"/>
      <w:pStyle w:val="Numerolist"/>
      <w:lvlText w:val="%1."/>
      <w:lvlJc w:val="left"/>
      <w:pPr>
        <w:ind w:left="1440" w:hanging="360"/>
      </w:pPr>
      <w:rPr>
        <w:rFonts w:hint="default"/>
        <w:b/>
        <w:i w:val="0"/>
        <w:color w:val="1F4F78" w:themeColor="accent1"/>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2C642CBA"/>
    <w:multiLevelType w:val="multilevel"/>
    <w:tmpl w:val="614E85F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E774B66"/>
    <w:multiLevelType w:val="hybridMultilevel"/>
    <w:tmpl w:val="B13607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9E00CB3"/>
    <w:multiLevelType w:val="hybridMultilevel"/>
    <w:tmpl w:val="C4EC3648"/>
    <w:styleLink w:val="ImportedStyle6"/>
    <w:lvl w:ilvl="0" w:tplc="CB8EABC4">
      <w:start w:val="1"/>
      <w:numFmt w:val="bullet"/>
      <w:lvlText w:val="-"/>
      <w:lvlJc w:val="left"/>
      <w:pPr>
        <w:ind w:left="108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34480D1C">
      <w:start w:val="1"/>
      <w:numFmt w:val="bullet"/>
      <w:lvlText w:val="•"/>
      <w:lvlPicBulletId w:val="0"/>
      <w:lvlJc w:val="left"/>
      <w:pPr>
        <w:ind w:left="495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5DD898B2">
      <w:start w:val="1"/>
      <w:numFmt w:val="bullet"/>
      <w:lvlText w:val="▪"/>
      <w:lvlJc w:val="left"/>
      <w:pPr>
        <w:ind w:left="252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68B692FE">
      <w:start w:val="1"/>
      <w:numFmt w:val="bullet"/>
      <w:lvlText w:val="•"/>
      <w:lvlJc w:val="left"/>
      <w:pPr>
        <w:ind w:left="324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86E0E2DE">
      <w:start w:val="1"/>
      <w:numFmt w:val="bullet"/>
      <w:lvlText w:val="o"/>
      <w:lvlJc w:val="left"/>
      <w:pPr>
        <w:ind w:left="396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0692783A">
      <w:start w:val="1"/>
      <w:numFmt w:val="bullet"/>
      <w:lvlText w:val="▪"/>
      <w:lvlJc w:val="left"/>
      <w:pPr>
        <w:ind w:left="468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D0C0D820">
      <w:start w:val="1"/>
      <w:numFmt w:val="bullet"/>
      <w:lvlText w:val="•"/>
      <w:lvlJc w:val="left"/>
      <w:pPr>
        <w:ind w:left="540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DB0E4A0E">
      <w:start w:val="1"/>
      <w:numFmt w:val="bullet"/>
      <w:lvlText w:val="o"/>
      <w:lvlJc w:val="left"/>
      <w:pPr>
        <w:ind w:left="612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69B83C82">
      <w:start w:val="1"/>
      <w:numFmt w:val="bullet"/>
      <w:lvlText w:val="▪"/>
      <w:lvlJc w:val="left"/>
      <w:pPr>
        <w:ind w:left="6840" w:hanging="360"/>
      </w:pPr>
      <w:rPr>
        <w:rFonts w:ascii="Calibri" w:eastAsia="Calibri" w:hAnsi="Calibri" w:cs="Calibri"/>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0" w15:restartNumberingAfterBreak="0">
    <w:nsid w:val="3F67236B"/>
    <w:multiLevelType w:val="hybridMultilevel"/>
    <w:tmpl w:val="E8AE0D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096388"/>
    <w:multiLevelType w:val="hybridMultilevel"/>
    <w:tmpl w:val="36DE383C"/>
    <w:lvl w:ilvl="0" w:tplc="068A2968">
      <w:start w:val="1"/>
      <w:numFmt w:val="bullet"/>
      <w:pStyle w:val="a0"/>
      <w:lvlText w:val=""/>
      <w:lvlJc w:val="left"/>
      <w:pPr>
        <w:ind w:left="360" w:hanging="360"/>
      </w:pPr>
      <w:rPr>
        <w:rFonts w:ascii="Symbol" w:hAnsi="Symbol" w:hint="default"/>
        <w:color w:val="73AB47" w:themeColor="accent3"/>
      </w:rPr>
    </w:lvl>
    <w:lvl w:ilvl="1" w:tplc="B4EC6572">
      <w:start w:val="1"/>
      <w:numFmt w:val="bullet"/>
      <w:pStyle w:val="Bulletlist2"/>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 w15:restartNumberingAfterBreak="0">
    <w:nsid w:val="44065D0F"/>
    <w:multiLevelType w:val="hybridMultilevel"/>
    <w:tmpl w:val="BF32538A"/>
    <w:lvl w:ilvl="0" w:tplc="0408000F">
      <w:start w:val="1"/>
      <w:numFmt w:val="decimal"/>
      <w:lvlText w:val="%1."/>
      <w:lvlJc w:val="left"/>
      <w:pPr>
        <w:ind w:left="2160" w:hanging="360"/>
      </w:pPr>
    </w:lvl>
    <w:lvl w:ilvl="1" w:tplc="04080019" w:tentative="1">
      <w:start w:val="1"/>
      <w:numFmt w:val="lowerLetter"/>
      <w:lvlText w:val="%2."/>
      <w:lvlJc w:val="left"/>
      <w:pPr>
        <w:ind w:left="2880" w:hanging="360"/>
      </w:p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13" w15:restartNumberingAfterBreak="0">
    <w:nsid w:val="44535E0E"/>
    <w:multiLevelType w:val="hybridMultilevel"/>
    <w:tmpl w:val="EFA4F7E4"/>
    <w:lvl w:ilvl="0" w:tplc="FA0AE05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44AC3948"/>
    <w:multiLevelType w:val="hybridMultilevel"/>
    <w:tmpl w:val="76B8F694"/>
    <w:lvl w:ilvl="0" w:tplc="068A2968">
      <w:start w:val="1"/>
      <w:numFmt w:val="bullet"/>
      <w:lvlText w:val=""/>
      <w:lvlJc w:val="left"/>
      <w:pPr>
        <w:ind w:left="720" w:hanging="360"/>
      </w:pPr>
      <w:rPr>
        <w:rFonts w:ascii="Symbol" w:hAnsi="Symbol" w:hint="default"/>
        <w:color w:val="73AB47" w:themeColor="accent3"/>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5" w15:restartNumberingAfterBreak="0">
    <w:nsid w:val="48D30CC3"/>
    <w:multiLevelType w:val="hybridMultilevel"/>
    <w:tmpl w:val="6FD0DCFA"/>
    <w:styleLink w:val="ImportedStyle4"/>
    <w:lvl w:ilvl="0" w:tplc="25F8E884">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C05C209A">
      <w:start w:val="1"/>
      <w:numFmt w:val="bullet"/>
      <w:lvlText w:val="·"/>
      <w:lvlJc w:val="left"/>
      <w:pPr>
        <w:ind w:left="495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3E465FEA">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EA3CC1E8">
      <w:start w:val="1"/>
      <w:numFmt w:val="bullet"/>
      <w:lvlText w:val="·"/>
      <w:lvlJc w:val="left"/>
      <w:pPr>
        <w:ind w:left="324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8DF2F6D2">
      <w:start w:val="1"/>
      <w:numFmt w:val="bullet"/>
      <w:lvlText w:val="o"/>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7674BE3C">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B70830CE">
      <w:start w:val="1"/>
      <w:numFmt w:val="bullet"/>
      <w:lvlText w:val="·"/>
      <w:lvlJc w:val="left"/>
      <w:pPr>
        <w:ind w:left="5400"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AAC60238">
      <w:start w:val="1"/>
      <w:numFmt w:val="bullet"/>
      <w:lvlText w:val="o"/>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5DF02076">
      <w:start w:val="1"/>
      <w:numFmt w:val="bullet"/>
      <w:lvlText w:val="▪"/>
      <w:lvlJc w:val="left"/>
      <w:pPr>
        <w:ind w:left="68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6" w15:restartNumberingAfterBreak="0">
    <w:nsid w:val="50407DE7"/>
    <w:multiLevelType w:val="hybridMultilevel"/>
    <w:tmpl w:val="6C1604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19E60CA"/>
    <w:multiLevelType w:val="hybridMultilevel"/>
    <w:tmpl w:val="BF26AE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AEA17B0"/>
    <w:multiLevelType w:val="hybridMultilevel"/>
    <w:tmpl w:val="E1A29D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6B5095A"/>
    <w:multiLevelType w:val="hybridMultilevel"/>
    <w:tmpl w:val="1FAEDC5C"/>
    <w:lvl w:ilvl="0" w:tplc="49547A5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66EF36AC"/>
    <w:multiLevelType w:val="hybridMultilevel"/>
    <w:tmpl w:val="498260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C7A59AC"/>
    <w:multiLevelType w:val="hybridMultilevel"/>
    <w:tmpl w:val="D7B84C3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70746C78"/>
    <w:multiLevelType w:val="hybridMultilevel"/>
    <w:tmpl w:val="B77A66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7F00125"/>
    <w:multiLevelType w:val="hybridMultilevel"/>
    <w:tmpl w:val="2D9653EE"/>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24" w15:restartNumberingAfterBreak="0">
    <w:nsid w:val="7BF8260B"/>
    <w:multiLevelType w:val="hybridMultilevel"/>
    <w:tmpl w:val="8766FC10"/>
    <w:lvl w:ilvl="0" w:tplc="0407001B">
      <w:start w:val="1"/>
      <w:numFmt w:val="low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64072482">
    <w:abstractNumId w:val="5"/>
  </w:num>
  <w:num w:numId="2" w16cid:durableId="86928478">
    <w:abstractNumId w:val="7"/>
  </w:num>
  <w:num w:numId="3" w16cid:durableId="419763212">
    <w:abstractNumId w:val="11"/>
  </w:num>
  <w:num w:numId="4" w16cid:durableId="82918553">
    <w:abstractNumId w:val="6"/>
  </w:num>
  <w:num w:numId="5" w16cid:durableId="238751008">
    <w:abstractNumId w:val="19"/>
  </w:num>
  <w:num w:numId="6" w16cid:durableId="854459551">
    <w:abstractNumId w:val="13"/>
  </w:num>
  <w:num w:numId="7" w16cid:durableId="2065375366">
    <w:abstractNumId w:val="21"/>
  </w:num>
  <w:num w:numId="8" w16cid:durableId="448008057">
    <w:abstractNumId w:val="14"/>
  </w:num>
  <w:num w:numId="9" w16cid:durableId="425007032">
    <w:abstractNumId w:val="2"/>
  </w:num>
  <w:num w:numId="10" w16cid:durableId="1968120653">
    <w:abstractNumId w:val="9"/>
  </w:num>
  <w:num w:numId="11" w16cid:durableId="855264375">
    <w:abstractNumId w:val="3"/>
  </w:num>
  <w:num w:numId="12" w16cid:durableId="287129170">
    <w:abstractNumId w:val="15"/>
  </w:num>
  <w:num w:numId="13" w16cid:durableId="241531287">
    <w:abstractNumId w:val="0"/>
  </w:num>
  <w:num w:numId="14" w16cid:durableId="592323105">
    <w:abstractNumId w:val="1"/>
  </w:num>
  <w:num w:numId="15" w16cid:durableId="1660113981">
    <w:abstractNumId w:val="1"/>
    <w:lvlOverride w:ilvl="0">
      <w:lvl w:ilvl="0">
        <w:start w:val="1"/>
        <w:numFmt w:val="bullet"/>
        <w:pStyle w:val="a"/>
        <w:lvlText w:val="›"/>
        <w:lvlJc w:val="left"/>
        <w:pPr>
          <w:tabs>
            <w:tab w:val="num" w:pos="567"/>
          </w:tabs>
          <w:ind w:left="567" w:hanging="425"/>
        </w:pPr>
        <w:rPr>
          <w:rFonts w:hint="default"/>
          <w:color w:val="F04E23"/>
          <w:position w:val="0"/>
          <w:sz w:val="16"/>
          <w:szCs w:val="16"/>
        </w:rPr>
      </w:lvl>
    </w:lvlOverride>
  </w:num>
  <w:num w:numId="16" w16cid:durableId="1285774449">
    <w:abstractNumId w:val="4"/>
  </w:num>
  <w:num w:numId="17" w16cid:durableId="379936610">
    <w:abstractNumId w:val="23"/>
  </w:num>
  <w:num w:numId="18" w16cid:durableId="2087065612">
    <w:abstractNumId w:val="12"/>
  </w:num>
  <w:num w:numId="19" w16cid:durableId="729765909">
    <w:abstractNumId w:val="22"/>
  </w:num>
  <w:num w:numId="20" w16cid:durableId="1206598901">
    <w:abstractNumId w:val="11"/>
  </w:num>
  <w:num w:numId="21" w16cid:durableId="376928984">
    <w:abstractNumId w:val="11"/>
  </w:num>
  <w:num w:numId="22" w16cid:durableId="195505943">
    <w:abstractNumId w:val="10"/>
  </w:num>
  <w:num w:numId="23" w16cid:durableId="71315140">
    <w:abstractNumId w:val="17"/>
  </w:num>
  <w:num w:numId="24" w16cid:durableId="410008600">
    <w:abstractNumId w:val="8"/>
  </w:num>
  <w:num w:numId="25" w16cid:durableId="710959116">
    <w:abstractNumId w:val="20"/>
  </w:num>
  <w:num w:numId="26" w16cid:durableId="1044674616">
    <w:abstractNumId w:val="16"/>
  </w:num>
  <w:num w:numId="27" w16cid:durableId="1117605124">
    <w:abstractNumId w:val="18"/>
  </w:num>
  <w:num w:numId="28" w16cid:durableId="4558029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7155"/>
    <w:rsid w:val="00003201"/>
    <w:rsid w:val="0002060E"/>
    <w:rsid w:val="000362E5"/>
    <w:rsid w:val="000511BC"/>
    <w:rsid w:val="0008473F"/>
    <w:rsid w:val="00087A8F"/>
    <w:rsid w:val="000D49EC"/>
    <w:rsid w:val="000D5C11"/>
    <w:rsid w:val="000E50B6"/>
    <w:rsid w:val="000E7AB8"/>
    <w:rsid w:val="00101F17"/>
    <w:rsid w:val="00121E39"/>
    <w:rsid w:val="001528AC"/>
    <w:rsid w:val="0017410E"/>
    <w:rsid w:val="001811D9"/>
    <w:rsid w:val="001B692F"/>
    <w:rsid w:val="001E0368"/>
    <w:rsid w:val="002048DE"/>
    <w:rsid w:val="0021500A"/>
    <w:rsid w:val="00216A06"/>
    <w:rsid w:val="00222D38"/>
    <w:rsid w:val="002B156A"/>
    <w:rsid w:val="002C030C"/>
    <w:rsid w:val="00325F2E"/>
    <w:rsid w:val="003370A7"/>
    <w:rsid w:val="003446E7"/>
    <w:rsid w:val="00355F5A"/>
    <w:rsid w:val="00366F4E"/>
    <w:rsid w:val="003C5AD2"/>
    <w:rsid w:val="003D0A3E"/>
    <w:rsid w:val="003E7E75"/>
    <w:rsid w:val="003F33EE"/>
    <w:rsid w:val="0040174C"/>
    <w:rsid w:val="00443488"/>
    <w:rsid w:val="00460113"/>
    <w:rsid w:val="0046416E"/>
    <w:rsid w:val="00474846"/>
    <w:rsid w:val="004748D2"/>
    <w:rsid w:val="00474A1A"/>
    <w:rsid w:val="00477F26"/>
    <w:rsid w:val="004910BD"/>
    <w:rsid w:val="004A713A"/>
    <w:rsid w:val="004B0E36"/>
    <w:rsid w:val="004D5C56"/>
    <w:rsid w:val="004F1D03"/>
    <w:rsid w:val="00515A27"/>
    <w:rsid w:val="0056100B"/>
    <w:rsid w:val="005754AB"/>
    <w:rsid w:val="005B1B1B"/>
    <w:rsid w:val="005F1D2E"/>
    <w:rsid w:val="00637661"/>
    <w:rsid w:val="00666EB7"/>
    <w:rsid w:val="00691ABC"/>
    <w:rsid w:val="006B4E13"/>
    <w:rsid w:val="006D3BEB"/>
    <w:rsid w:val="007101CC"/>
    <w:rsid w:val="00720444"/>
    <w:rsid w:val="00723407"/>
    <w:rsid w:val="00730AC2"/>
    <w:rsid w:val="00745F9C"/>
    <w:rsid w:val="00763871"/>
    <w:rsid w:val="00770F4D"/>
    <w:rsid w:val="0077368A"/>
    <w:rsid w:val="00780C62"/>
    <w:rsid w:val="007A4D76"/>
    <w:rsid w:val="007B125F"/>
    <w:rsid w:val="007E153C"/>
    <w:rsid w:val="007E54A1"/>
    <w:rsid w:val="00805CDF"/>
    <w:rsid w:val="00843614"/>
    <w:rsid w:val="00860398"/>
    <w:rsid w:val="0087276C"/>
    <w:rsid w:val="00877155"/>
    <w:rsid w:val="008B52FF"/>
    <w:rsid w:val="008C07C1"/>
    <w:rsid w:val="008F6E1D"/>
    <w:rsid w:val="0090283E"/>
    <w:rsid w:val="00905FCA"/>
    <w:rsid w:val="00914B64"/>
    <w:rsid w:val="0094314C"/>
    <w:rsid w:val="00944487"/>
    <w:rsid w:val="009822AA"/>
    <w:rsid w:val="0099044B"/>
    <w:rsid w:val="00995AA5"/>
    <w:rsid w:val="009B623E"/>
    <w:rsid w:val="009E3E23"/>
    <w:rsid w:val="00A313E9"/>
    <w:rsid w:val="00A42BED"/>
    <w:rsid w:val="00A50D56"/>
    <w:rsid w:val="00A651BA"/>
    <w:rsid w:val="00A74468"/>
    <w:rsid w:val="00A857D9"/>
    <w:rsid w:val="00A86A64"/>
    <w:rsid w:val="00AD4749"/>
    <w:rsid w:val="00AF3E0C"/>
    <w:rsid w:val="00B002FE"/>
    <w:rsid w:val="00B05421"/>
    <w:rsid w:val="00B173D5"/>
    <w:rsid w:val="00B428B4"/>
    <w:rsid w:val="00BB5C30"/>
    <w:rsid w:val="00BC631F"/>
    <w:rsid w:val="00BE75F4"/>
    <w:rsid w:val="00BE7E2F"/>
    <w:rsid w:val="00BF6927"/>
    <w:rsid w:val="00C03795"/>
    <w:rsid w:val="00C060EF"/>
    <w:rsid w:val="00C3609B"/>
    <w:rsid w:val="00C37B02"/>
    <w:rsid w:val="00C617FD"/>
    <w:rsid w:val="00C96166"/>
    <w:rsid w:val="00CD2BDE"/>
    <w:rsid w:val="00CF340E"/>
    <w:rsid w:val="00D24D57"/>
    <w:rsid w:val="00D566D6"/>
    <w:rsid w:val="00D936D0"/>
    <w:rsid w:val="00DA1199"/>
    <w:rsid w:val="00DB168B"/>
    <w:rsid w:val="00E14B39"/>
    <w:rsid w:val="00E2498C"/>
    <w:rsid w:val="00E41429"/>
    <w:rsid w:val="00E57657"/>
    <w:rsid w:val="00E6677D"/>
    <w:rsid w:val="00EA49B0"/>
    <w:rsid w:val="00ED3990"/>
    <w:rsid w:val="00ED7C07"/>
    <w:rsid w:val="00EF6479"/>
    <w:rsid w:val="00F00094"/>
    <w:rsid w:val="00F0660E"/>
    <w:rsid w:val="00F271DB"/>
    <w:rsid w:val="00F311D4"/>
    <w:rsid w:val="00F42BF9"/>
    <w:rsid w:val="00F730F6"/>
    <w:rsid w:val="00F75D92"/>
    <w:rsid w:val="00F83491"/>
    <w:rsid w:val="00FD6E06"/>
    <w:rsid w:val="00FE6E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001F87"/>
  <w15:chartTrackingRefBased/>
  <w15:docId w15:val="{D0FD2F59-81D5-4F9F-B7EE-94364F42E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4" w:unhideWhenUsed="1"/>
    <w:lsdException w:name="List Bullet 3" w:semiHidden="1" w:uiPriority="4" w:unhideWhenUsed="1"/>
    <w:lsdException w:name="List Bullet 4" w:semiHidden="1" w:uiPriority="4"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770F4D"/>
    <w:pPr>
      <w:jc w:val="both"/>
    </w:pPr>
    <w:rPr>
      <w:sz w:val="20"/>
      <w:lang w:val="el-GR"/>
    </w:rPr>
  </w:style>
  <w:style w:type="paragraph" w:styleId="1">
    <w:name w:val="heading 1"/>
    <w:basedOn w:val="a1"/>
    <w:next w:val="a1"/>
    <w:link w:val="1Char"/>
    <w:uiPriority w:val="9"/>
    <w:qFormat/>
    <w:rsid w:val="00770F4D"/>
    <w:pPr>
      <w:keepNext/>
      <w:keepLines/>
      <w:pageBreakBefore/>
      <w:spacing w:before="240" w:after="120"/>
      <w:jc w:val="left"/>
      <w:outlineLvl w:val="0"/>
    </w:pPr>
    <w:rPr>
      <w:rFonts w:asciiTheme="majorHAnsi" w:eastAsiaTheme="majorEastAsia" w:hAnsiTheme="majorHAnsi" w:cstheme="majorBidi"/>
      <w:color w:val="1F4F78" w:themeColor="accent1"/>
      <w:sz w:val="56"/>
      <w:szCs w:val="56"/>
    </w:rPr>
  </w:style>
  <w:style w:type="paragraph" w:styleId="20">
    <w:name w:val="heading 2"/>
    <w:basedOn w:val="a1"/>
    <w:next w:val="a1"/>
    <w:link w:val="2Char"/>
    <w:uiPriority w:val="9"/>
    <w:unhideWhenUsed/>
    <w:qFormat/>
    <w:rsid w:val="00B05421"/>
    <w:pPr>
      <w:keepNext/>
      <w:keepLines/>
      <w:spacing w:before="40" w:after="0"/>
      <w:jc w:val="left"/>
      <w:outlineLvl w:val="1"/>
    </w:pPr>
    <w:rPr>
      <w:rFonts w:ascii="EC Square Sans Pro" w:eastAsiaTheme="majorEastAsia" w:hAnsi="EC Square Sans Pro" w:cs="Times New Roman (Titres CS)"/>
      <w:bCs/>
      <w:caps/>
      <w:color w:val="2481C3" w:themeColor="accent4"/>
      <w:sz w:val="36"/>
      <w:szCs w:val="36"/>
      <w:lang w:val="en-GB"/>
    </w:rPr>
  </w:style>
  <w:style w:type="paragraph" w:styleId="30">
    <w:name w:val="heading 3"/>
    <w:basedOn w:val="a1"/>
    <w:next w:val="a1"/>
    <w:link w:val="3Char"/>
    <w:uiPriority w:val="9"/>
    <w:unhideWhenUsed/>
    <w:qFormat/>
    <w:rsid w:val="00FE6E18"/>
    <w:pPr>
      <w:keepNext/>
      <w:keepLines/>
      <w:pBdr>
        <w:bottom w:val="single" w:sz="4" w:space="1" w:color="auto"/>
      </w:pBdr>
      <w:spacing w:before="40" w:after="80"/>
      <w:jc w:val="left"/>
      <w:outlineLvl w:val="2"/>
    </w:pPr>
    <w:rPr>
      <w:rFonts w:asciiTheme="majorHAnsi" w:eastAsiaTheme="majorEastAsia" w:hAnsiTheme="majorHAnsi" w:cstheme="majorBidi"/>
      <w:color w:val="1F4F78" w:themeColor="accent1"/>
      <w:sz w:val="32"/>
      <w:szCs w:val="28"/>
    </w:rPr>
  </w:style>
  <w:style w:type="paragraph" w:styleId="40">
    <w:name w:val="heading 4"/>
    <w:basedOn w:val="a1"/>
    <w:next w:val="a1"/>
    <w:link w:val="4Char"/>
    <w:uiPriority w:val="9"/>
    <w:unhideWhenUsed/>
    <w:qFormat/>
    <w:rsid w:val="00B05421"/>
    <w:pPr>
      <w:keepNext/>
      <w:keepLines/>
      <w:spacing w:before="40" w:after="0"/>
      <w:jc w:val="left"/>
      <w:outlineLvl w:val="3"/>
    </w:pPr>
    <w:rPr>
      <w:rFonts w:eastAsiaTheme="majorEastAsia" w:cs="Times New Roman (Titres CS)"/>
      <w:iCs/>
      <w:caps/>
      <w:color w:val="73AB47" w:themeColor="accent3"/>
      <w:spacing w:val="20"/>
    </w:rPr>
  </w:style>
  <w:style w:type="paragraph" w:styleId="5">
    <w:name w:val="heading 5"/>
    <w:basedOn w:val="a1"/>
    <w:next w:val="a1"/>
    <w:link w:val="5Char"/>
    <w:uiPriority w:val="9"/>
    <w:unhideWhenUsed/>
    <w:qFormat/>
    <w:rsid w:val="00B05421"/>
    <w:pPr>
      <w:keepNext/>
      <w:keepLines/>
      <w:spacing w:before="40" w:after="0"/>
      <w:outlineLvl w:val="4"/>
    </w:pPr>
    <w:rPr>
      <w:rFonts w:asciiTheme="majorHAnsi" w:eastAsiaTheme="majorEastAsia" w:hAnsiTheme="majorHAnsi" w:cstheme="majorBidi"/>
      <w:color w:val="173A59" w:themeColor="accent1" w:themeShade="B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link w:val="Char"/>
    <w:uiPriority w:val="1"/>
    <w:qFormat/>
    <w:rsid w:val="00877155"/>
    <w:pPr>
      <w:spacing w:after="0" w:line="240" w:lineRule="auto"/>
    </w:pPr>
  </w:style>
  <w:style w:type="character" w:customStyle="1" w:styleId="1Char">
    <w:name w:val="Επικεφαλίδα 1 Char"/>
    <w:basedOn w:val="a2"/>
    <w:link w:val="1"/>
    <w:uiPriority w:val="9"/>
    <w:rsid w:val="00770F4D"/>
    <w:rPr>
      <w:rFonts w:asciiTheme="majorHAnsi" w:eastAsiaTheme="majorEastAsia" w:hAnsiTheme="majorHAnsi" w:cstheme="majorBidi"/>
      <w:color w:val="1F4F78" w:themeColor="accent1"/>
      <w:sz w:val="56"/>
      <w:szCs w:val="56"/>
    </w:rPr>
  </w:style>
  <w:style w:type="character" w:customStyle="1" w:styleId="2Char">
    <w:name w:val="Επικεφαλίδα 2 Char"/>
    <w:basedOn w:val="a2"/>
    <w:link w:val="20"/>
    <w:uiPriority w:val="9"/>
    <w:rsid w:val="00B05421"/>
    <w:rPr>
      <w:rFonts w:ascii="EC Square Sans Pro" w:eastAsiaTheme="majorEastAsia" w:hAnsi="EC Square Sans Pro" w:cs="Times New Roman (Titres CS)"/>
      <w:bCs/>
      <w:caps/>
      <w:color w:val="2481C3" w:themeColor="accent4"/>
      <w:sz w:val="36"/>
      <w:szCs w:val="36"/>
      <w:lang w:val="en-GB"/>
    </w:rPr>
  </w:style>
  <w:style w:type="character" w:customStyle="1" w:styleId="3Char">
    <w:name w:val="Επικεφαλίδα 3 Char"/>
    <w:basedOn w:val="a2"/>
    <w:link w:val="30"/>
    <w:uiPriority w:val="9"/>
    <w:rsid w:val="00FE6E18"/>
    <w:rPr>
      <w:rFonts w:asciiTheme="majorHAnsi" w:eastAsiaTheme="majorEastAsia" w:hAnsiTheme="majorHAnsi" w:cstheme="majorBidi"/>
      <w:color w:val="1F4F78" w:themeColor="accent1"/>
      <w:sz w:val="32"/>
      <w:szCs w:val="28"/>
    </w:rPr>
  </w:style>
  <w:style w:type="paragraph" w:styleId="a0">
    <w:name w:val="List Paragraph"/>
    <w:basedOn w:val="a1"/>
    <w:uiPriority w:val="34"/>
    <w:qFormat/>
    <w:rsid w:val="003446E7"/>
    <w:pPr>
      <w:numPr>
        <w:numId w:val="3"/>
      </w:numPr>
      <w:spacing w:after="0"/>
      <w:contextualSpacing/>
    </w:pPr>
  </w:style>
  <w:style w:type="character" w:styleId="a6">
    <w:name w:val="Book Title"/>
    <w:basedOn w:val="a2"/>
    <w:uiPriority w:val="33"/>
    <w:qFormat/>
    <w:rsid w:val="00F0660E"/>
    <w:rPr>
      <w:b/>
      <w:bCs/>
      <w:iCs/>
      <w:spacing w:val="5"/>
    </w:rPr>
  </w:style>
  <w:style w:type="character" w:styleId="a7">
    <w:name w:val="Intense Reference"/>
    <w:basedOn w:val="a2"/>
    <w:uiPriority w:val="32"/>
    <w:qFormat/>
    <w:rsid w:val="00780C62"/>
    <w:rPr>
      <w:b/>
      <w:bCs/>
      <w:smallCaps/>
      <w:color w:val="1F4F78" w:themeColor="accent1"/>
      <w:spacing w:val="5"/>
    </w:rPr>
  </w:style>
  <w:style w:type="character" w:styleId="a8">
    <w:name w:val="Subtle Reference"/>
    <w:basedOn w:val="a2"/>
    <w:uiPriority w:val="31"/>
    <w:qFormat/>
    <w:rsid w:val="00780C62"/>
    <w:rPr>
      <w:smallCaps/>
      <w:color w:val="5A5A5A" w:themeColor="text1" w:themeTint="A5"/>
    </w:rPr>
  </w:style>
  <w:style w:type="character" w:customStyle="1" w:styleId="Char">
    <w:name w:val="Χωρίς διάστιχο Char"/>
    <w:basedOn w:val="a2"/>
    <w:link w:val="a5"/>
    <w:uiPriority w:val="1"/>
    <w:rsid w:val="00780C62"/>
  </w:style>
  <w:style w:type="paragraph" w:styleId="a9">
    <w:name w:val="Title"/>
    <w:basedOn w:val="a1"/>
    <w:next w:val="a1"/>
    <w:link w:val="Char0"/>
    <w:uiPriority w:val="10"/>
    <w:qFormat/>
    <w:rsid w:val="00780C6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0">
    <w:name w:val="Τίτλος Char"/>
    <w:basedOn w:val="a2"/>
    <w:link w:val="a9"/>
    <w:uiPriority w:val="10"/>
    <w:rsid w:val="00780C62"/>
    <w:rPr>
      <w:rFonts w:asciiTheme="majorHAnsi" w:eastAsiaTheme="majorEastAsia" w:hAnsiTheme="majorHAnsi" w:cstheme="majorBidi"/>
      <w:spacing w:val="-10"/>
      <w:kern w:val="28"/>
      <w:sz w:val="56"/>
      <w:szCs w:val="56"/>
    </w:rPr>
  </w:style>
  <w:style w:type="paragraph" w:styleId="aa">
    <w:name w:val="header"/>
    <w:basedOn w:val="a1"/>
    <w:link w:val="Char1"/>
    <w:uiPriority w:val="99"/>
    <w:unhideWhenUsed/>
    <w:rsid w:val="00780C62"/>
    <w:pPr>
      <w:tabs>
        <w:tab w:val="center" w:pos="4536"/>
        <w:tab w:val="right" w:pos="9072"/>
      </w:tabs>
      <w:spacing w:after="0" w:line="240" w:lineRule="auto"/>
    </w:pPr>
  </w:style>
  <w:style w:type="character" w:customStyle="1" w:styleId="Char1">
    <w:name w:val="Κεφαλίδα Char"/>
    <w:basedOn w:val="a2"/>
    <w:link w:val="aa"/>
    <w:uiPriority w:val="99"/>
    <w:rsid w:val="00780C62"/>
  </w:style>
  <w:style w:type="paragraph" w:styleId="ab">
    <w:name w:val="footer"/>
    <w:basedOn w:val="a1"/>
    <w:link w:val="Char2"/>
    <w:uiPriority w:val="99"/>
    <w:unhideWhenUsed/>
    <w:rsid w:val="00780C62"/>
    <w:pPr>
      <w:tabs>
        <w:tab w:val="center" w:pos="4536"/>
        <w:tab w:val="right" w:pos="9072"/>
      </w:tabs>
      <w:spacing w:after="0" w:line="240" w:lineRule="auto"/>
    </w:pPr>
  </w:style>
  <w:style w:type="character" w:customStyle="1" w:styleId="Char2">
    <w:name w:val="Υποσέλιδο Char"/>
    <w:basedOn w:val="a2"/>
    <w:link w:val="ab"/>
    <w:uiPriority w:val="99"/>
    <w:rsid w:val="00780C62"/>
  </w:style>
  <w:style w:type="paragraph" w:styleId="ac">
    <w:name w:val="TOC Heading"/>
    <w:basedOn w:val="1"/>
    <w:next w:val="a1"/>
    <w:uiPriority w:val="39"/>
    <w:unhideWhenUsed/>
    <w:qFormat/>
    <w:rsid w:val="00FE6E18"/>
    <w:pPr>
      <w:pageBreakBefore w:val="0"/>
      <w:spacing w:before="480" w:line="276" w:lineRule="auto"/>
      <w:outlineLvl w:val="9"/>
    </w:pPr>
    <w:rPr>
      <w:lang w:val="fr-BE" w:eastAsia="fr-FR"/>
    </w:rPr>
  </w:style>
  <w:style w:type="paragraph" w:styleId="21">
    <w:name w:val="toc 2"/>
    <w:basedOn w:val="a1"/>
    <w:next w:val="a1"/>
    <w:autoRedefine/>
    <w:uiPriority w:val="39"/>
    <w:unhideWhenUsed/>
    <w:rsid w:val="00D24D57"/>
    <w:pPr>
      <w:tabs>
        <w:tab w:val="right" w:leader="dot" w:pos="9062"/>
      </w:tabs>
      <w:spacing w:before="120" w:after="0"/>
      <w:ind w:left="221"/>
    </w:pPr>
    <w:rPr>
      <w:rFonts w:ascii="EC Square Sans Pro" w:hAnsi="EC Square Sans Pro"/>
      <w:bCs/>
      <w:iCs/>
      <w:noProof/>
      <w:color w:val="2481C3" w:themeColor="accent4"/>
      <w:szCs w:val="20"/>
      <w:lang w:val="en-GB"/>
    </w:rPr>
  </w:style>
  <w:style w:type="paragraph" w:styleId="10">
    <w:name w:val="toc 1"/>
    <w:basedOn w:val="a1"/>
    <w:next w:val="a1"/>
    <w:autoRedefine/>
    <w:uiPriority w:val="39"/>
    <w:unhideWhenUsed/>
    <w:rsid w:val="00D24D57"/>
    <w:pPr>
      <w:spacing w:before="240" w:after="120"/>
    </w:pPr>
    <w:rPr>
      <w:b/>
      <w:bCs/>
      <w:szCs w:val="20"/>
    </w:rPr>
  </w:style>
  <w:style w:type="paragraph" w:styleId="31">
    <w:name w:val="toc 3"/>
    <w:basedOn w:val="a1"/>
    <w:next w:val="a1"/>
    <w:autoRedefine/>
    <w:uiPriority w:val="39"/>
    <w:unhideWhenUsed/>
    <w:rsid w:val="00D24D57"/>
    <w:pPr>
      <w:spacing w:after="40"/>
      <w:ind w:left="442"/>
      <w:contextualSpacing/>
    </w:pPr>
    <w:rPr>
      <w:sz w:val="18"/>
      <w:szCs w:val="20"/>
    </w:rPr>
  </w:style>
  <w:style w:type="paragraph" w:styleId="41">
    <w:name w:val="toc 4"/>
    <w:basedOn w:val="a1"/>
    <w:next w:val="a1"/>
    <w:autoRedefine/>
    <w:uiPriority w:val="39"/>
    <w:semiHidden/>
    <w:unhideWhenUsed/>
    <w:rsid w:val="002C030C"/>
    <w:pPr>
      <w:spacing w:after="0"/>
      <w:ind w:left="660"/>
    </w:pPr>
    <w:rPr>
      <w:szCs w:val="20"/>
    </w:rPr>
  </w:style>
  <w:style w:type="paragraph" w:styleId="50">
    <w:name w:val="toc 5"/>
    <w:basedOn w:val="a1"/>
    <w:next w:val="a1"/>
    <w:autoRedefine/>
    <w:uiPriority w:val="39"/>
    <w:semiHidden/>
    <w:unhideWhenUsed/>
    <w:rsid w:val="002C030C"/>
    <w:pPr>
      <w:spacing w:after="0"/>
      <w:ind w:left="880"/>
    </w:pPr>
    <w:rPr>
      <w:szCs w:val="20"/>
    </w:rPr>
  </w:style>
  <w:style w:type="paragraph" w:styleId="6">
    <w:name w:val="toc 6"/>
    <w:basedOn w:val="a1"/>
    <w:next w:val="a1"/>
    <w:autoRedefine/>
    <w:uiPriority w:val="39"/>
    <w:semiHidden/>
    <w:unhideWhenUsed/>
    <w:rsid w:val="002C030C"/>
    <w:pPr>
      <w:spacing w:after="0"/>
      <w:ind w:left="1100"/>
    </w:pPr>
    <w:rPr>
      <w:szCs w:val="20"/>
    </w:rPr>
  </w:style>
  <w:style w:type="paragraph" w:styleId="7">
    <w:name w:val="toc 7"/>
    <w:basedOn w:val="a1"/>
    <w:next w:val="a1"/>
    <w:autoRedefine/>
    <w:uiPriority w:val="39"/>
    <w:semiHidden/>
    <w:unhideWhenUsed/>
    <w:rsid w:val="002C030C"/>
    <w:pPr>
      <w:spacing w:after="0"/>
      <w:ind w:left="1320"/>
    </w:pPr>
    <w:rPr>
      <w:szCs w:val="20"/>
    </w:rPr>
  </w:style>
  <w:style w:type="paragraph" w:styleId="8">
    <w:name w:val="toc 8"/>
    <w:basedOn w:val="a1"/>
    <w:next w:val="a1"/>
    <w:autoRedefine/>
    <w:uiPriority w:val="39"/>
    <w:semiHidden/>
    <w:unhideWhenUsed/>
    <w:rsid w:val="002C030C"/>
    <w:pPr>
      <w:spacing w:after="0"/>
      <w:ind w:left="1540"/>
    </w:pPr>
    <w:rPr>
      <w:szCs w:val="20"/>
    </w:rPr>
  </w:style>
  <w:style w:type="paragraph" w:styleId="9">
    <w:name w:val="toc 9"/>
    <w:basedOn w:val="a1"/>
    <w:next w:val="a1"/>
    <w:autoRedefine/>
    <w:uiPriority w:val="39"/>
    <w:semiHidden/>
    <w:unhideWhenUsed/>
    <w:rsid w:val="002C030C"/>
    <w:pPr>
      <w:spacing w:after="0"/>
      <w:ind w:left="1760"/>
    </w:pPr>
    <w:rPr>
      <w:szCs w:val="20"/>
    </w:rPr>
  </w:style>
  <w:style w:type="paragraph" w:customStyle="1" w:styleId="Paragraphestandard">
    <w:name w:val="[Paragraphe standard]"/>
    <w:basedOn w:val="a1"/>
    <w:uiPriority w:val="99"/>
    <w:rsid w:val="00F0660E"/>
    <w:pPr>
      <w:autoSpaceDE w:val="0"/>
      <w:autoSpaceDN w:val="0"/>
      <w:adjustRightInd w:val="0"/>
      <w:spacing w:after="0" w:line="288" w:lineRule="auto"/>
      <w:jc w:val="left"/>
      <w:textAlignment w:val="center"/>
    </w:pPr>
    <w:rPr>
      <w:rFonts w:cs="Minion Pro"/>
      <w:color w:val="000000"/>
      <w:sz w:val="24"/>
      <w:szCs w:val="24"/>
      <w:lang w:val="fr-FR"/>
    </w:rPr>
  </w:style>
  <w:style w:type="character" w:styleId="-">
    <w:name w:val="Hyperlink"/>
    <w:basedOn w:val="a2"/>
    <w:uiPriority w:val="99"/>
    <w:unhideWhenUsed/>
    <w:rsid w:val="00F0660E"/>
    <w:rPr>
      <w:color w:val="2481C3" w:themeColor="accent4"/>
      <w:u w:val="single"/>
    </w:rPr>
  </w:style>
  <w:style w:type="character" w:styleId="ad">
    <w:name w:val="page number"/>
    <w:basedOn w:val="a2"/>
    <w:uiPriority w:val="99"/>
    <w:semiHidden/>
    <w:unhideWhenUsed/>
    <w:rsid w:val="000D5C11"/>
  </w:style>
  <w:style w:type="character" w:customStyle="1" w:styleId="4Char">
    <w:name w:val="Επικεφαλίδα 4 Char"/>
    <w:basedOn w:val="a2"/>
    <w:link w:val="40"/>
    <w:uiPriority w:val="9"/>
    <w:rsid w:val="00B05421"/>
    <w:rPr>
      <w:rFonts w:eastAsiaTheme="majorEastAsia" w:cs="Times New Roman (Titres CS)"/>
      <w:iCs/>
      <w:caps/>
      <w:color w:val="73AB47" w:themeColor="accent3"/>
      <w:spacing w:val="20"/>
      <w:sz w:val="20"/>
    </w:rPr>
  </w:style>
  <w:style w:type="character" w:customStyle="1" w:styleId="5Char">
    <w:name w:val="Επικεφαλίδα 5 Char"/>
    <w:basedOn w:val="a2"/>
    <w:link w:val="5"/>
    <w:uiPriority w:val="9"/>
    <w:rsid w:val="00B05421"/>
    <w:rPr>
      <w:rFonts w:asciiTheme="majorHAnsi" w:eastAsiaTheme="majorEastAsia" w:hAnsiTheme="majorHAnsi" w:cstheme="majorBidi"/>
      <w:color w:val="173A59" w:themeColor="accent1" w:themeShade="BF"/>
      <w:sz w:val="20"/>
    </w:rPr>
  </w:style>
  <w:style w:type="paragraph" w:customStyle="1" w:styleId="Normal2">
    <w:name w:val="Normal2"/>
    <w:basedOn w:val="a1"/>
    <w:qFormat/>
    <w:rsid w:val="001E0368"/>
    <w:pPr>
      <w:ind w:left="426"/>
    </w:pPr>
  </w:style>
  <w:style w:type="paragraph" w:customStyle="1" w:styleId="Bulletlist1">
    <w:name w:val="Bullet list1"/>
    <w:basedOn w:val="a0"/>
    <w:qFormat/>
    <w:rsid w:val="003446E7"/>
  </w:style>
  <w:style w:type="paragraph" w:customStyle="1" w:styleId="Bulletlist2">
    <w:name w:val="Bullet list2"/>
    <w:basedOn w:val="a0"/>
    <w:qFormat/>
    <w:rsid w:val="003446E7"/>
    <w:pPr>
      <w:numPr>
        <w:ilvl w:val="1"/>
      </w:numPr>
      <w:ind w:left="1134" w:hanging="425"/>
    </w:pPr>
  </w:style>
  <w:style w:type="paragraph" w:customStyle="1" w:styleId="Numerolist">
    <w:name w:val="Numero list"/>
    <w:basedOn w:val="a0"/>
    <w:qFormat/>
    <w:rsid w:val="00D24D57"/>
    <w:pPr>
      <w:numPr>
        <w:numId w:val="4"/>
      </w:numPr>
      <w:ind w:left="426" w:hanging="426"/>
    </w:pPr>
  </w:style>
  <w:style w:type="character" w:styleId="ae">
    <w:name w:val="Strong"/>
    <w:basedOn w:val="a2"/>
    <w:uiPriority w:val="22"/>
    <w:qFormat/>
    <w:rsid w:val="00F0660E"/>
    <w:rPr>
      <w:b/>
      <w:bCs/>
    </w:rPr>
  </w:style>
  <w:style w:type="paragraph" w:styleId="af">
    <w:name w:val="Intense Quote"/>
    <w:basedOn w:val="a1"/>
    <w:next w:val="a1"/>
    <w:link w:val="Char3"/>
    <w:uiPriority w:val="30"/>
    <w:qFormat/>
    <w:rsid w:val="00770F4D"/>
    <w:pPr>
      <w:pBdr>
        <w:top w:val="single" w:sz="4" w:space="10" w:color="1F4F78" w:themeColor="accent1"/>
        <w:bottom w:val="single" w:sz="4" w:space="10" w:color="1F4F78" w:themeColor="accent1"/>
      </w:pBdr>
      <w:shd w:val="pct10" w:color="2481C3" w:themeColor="accent4" w:fill="2481C3" w:themeFill="accent4"/>
      <w:spacing w:before="360" w:after="360"/>
      <w:ind w:left="851" w:right="851"/>
    </w:pPr>
    <w:rPr>
      <w:i/>
      <w:iCs/>
      <w:color w:val="FFFFFF" w:themeColor="background1"/>
      <w:sz w:val="19"/>
      <w:szCs w:val="19"/>
    </w:rPr>
  </w:style>
  <w:style w:type="character" w:customStyle="1" w:styleId="Char3">
    <w:name w:val="Έντονο απόσπ. Char"/>
    <w:basedOn w:val="a2"/>
    <w:link w:val="af"/>
    <w:uiPriority w:val="30"/>
    <w:rsid w:val="00770F4D"/>
    <w:rPr>
      <w:i/>
      <w:iCs/>
      <w:color w:val="FFFFFF" w:themeColor="background1"/>
      <w:sz w:val="19"/>
      <w:szCs w:val="19"/>
      <w:shd w:val="pct10" w:color="2481C3" w:themeColor="accent4" w:fill="2481C3" w:themeFill="accent4"/>
    </w:rPr>
  </w:style>
  <w:style w:type="table" w:styleId="af0">
    <w:name w:val="Table Grid"/>
    <w:basedOn w:val="a3"/>
    <w:uiPriority w:val="39"/>
    <w:rsid w:val="00B428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4">
    <w:name w:val="Grid Table 2 Accent 4"/>
    <w:basedOn w:val="a3"/>
    <w:uiPriority w:val="47"/>
    <w:rsid w:val="00B428B4"/>
    <w:pPr>
      <w:spacing w:after="0" w:line="240" w:lineRule="auto"/>
    </w:pPr>
    <w:tblPr>
      <w:tblStyleRowBandSize w:val="1"/>
      <w:tblStyleColBandSize w:val="1"/>
      <w:tblBorders>
        <w:top w:val="single" w:sz="2" w:space="0" w:color="71B4E5" w:themeColor="accent4" w:themeTint="99"/>
        <w:bottom w:val="single" w:sz="2" w:space="0" w:color="71B4E5" w:themeColor="accent4" w:themeTint="99"/>
        <w:insideH w:val="single" w:sz="2" w:space="0" w:color="71B4E5" w:themeColor="accent4" w:themeTint="99"/>
        <w:insideV w:val="single" w:sz="2" w:space="0" w:color="71B4E5" w:themeColor="accent4" w:themeTint="99"/>
      </w:tblBorders>
    </w:tblPr>
    <w:tblStylePr w:type="firstRow">
      <w:rPr>
        <w:b/>
        <w:bCs/>
      </w:rPr>
      <w:tblPr/>
      <w:tcPr>
        <w:tcBorders>
          <w:top w:val="nil"/>
          <w:bottom w:val="single" w:sz="12" w:space="0" w:color="71B4E5" w:themeColor="accent4" w:themeTint="99"/>
          <w:insideH w:val="nil"/>
          <w:insideV w:val="nil"/>
        </w:tcBorders>
        <w:shd w:val="clear" w:color="auto" w:fill="FFFFFF" w:themeFill="background1"/>
      </w:tcPr>
    </w:tblStylePr>
    <w:tblStylePr w:type="lastRow">
      <w:rPr>
        <w:b/>
        <w:bCs/>
      </w:rPr>
      <w:tblPr/>
      <w:tcPr>
        <w:tcBorders>
          <w:top w:val="double" w:sz="2" w:space="0" w:color="71B4E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FE6F6" w:themeFill="accent4" w:themeFillTint="33"/>
      </w:tcPr>
    </w:tblStylePr>
    <w:tblStylePr w:type="band1Horz">
      <w:tblPr/>
      <w:tcPr>
        <w:shd w:val="clear" w:color="auto" w:fill="CFE6F6" w:themeFill="accent4" w:themeFillTint="33"/>
      </w:tcPr>
    </w:tblStylePr>
  </w:style>
  <w:style w:type="table" w:styleId="3-1">
    <w:name w:val="Grid Table 3 Accent 1"/>
    <w:basedOn w:val="a3"/>
    <w:uiPriority w:val="48"/>
    <w:rsid w:val="00B428B4"/>
    <w:pPr>
      <w:spacing w:after="0" w:line="240" w:lineRule="auto"/>
    </w:pPr>
    <w:tblPr>
      <w:tblStyleRowBandSize w:val="1"/>
      <w:tblStyleColBandSize w:val="1"/>
      <w:tblBorders>
        <w:top w:val="single" w:sz="4" w:space="0" w:color="5397D2" w:themeColor="accent1" w:themeTint="99"/>
        <w:left w:val="single" w:sz="4" w:space="0" w:color="5397D2" w:themeColor="accent1" w:themeTint="99"/>
        <w:bottom w:val="single" w:sz="4" w:space="0" w:color="5397D2" w:themeColor="accent1" w:themeTint="99"/>
        <w:right w:val="single" w:sz="4" w:space="0" w:color="5397D2" w:themeColor="accent1" w:themeTint="99"/>
        <w:insideH w:val="single" w:sz="4" w:space="0" w:color="5397D2" w:themeColor="accent1" w:themeTint="99"/>
        <w:insideV w:val="single" w:sz="4" w:space="0" w:color="5397D2"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5DCF0" w:themeFill="accent1" w:themeFillTint="33"/>
      </w:tcPr>
    </w:tblStylePr>
    <w:tblStylePr w:type="band1Horz">
      <w:tblPr/>
      <w:tcPr>
        <w:shd w:val="clear" w:color="auto" w:fill="C5DCF0" w:themeFill="accent1" w:themeFillTint="33"/>
      </w:tcPr>
    </w:tblStylePr>
    <w:tblStylePr w:type="neCell">
      <w:tblPr/>
      <w:tcPr>
        <w:tcBorders>
          <w:bottom w:val="single" w:sz="4" w:space="0" w:color="5397D2" w:themeColor="accent1" w:themeTint="99"/>
        </w:tcBorders>
      </w:tcPr>
    </w:tblStylePr>
    <w:tblStylePr w:type="nwCell">
      <w:tblPr/>
      <w:tcPr>
        <w:tcBorders>
          <w:bottom w:val="single" w:sz="4" w:space="0" w:color="5397D2" w:themeColor="accent1" w:themeTint="99"/>
        </w:tcBorders>
      </w:tcPr>
    </w:tblStylePr>
    <w:tblStylePr w:type="seCell">
      <w:tblPr/>
      <w:tcPr>
        <w:tcBorders>
          <w:top w:val="single" w:sz="4" w:space="0" w:color="5397D2" w:themeColor="accent1" w:themeTint="99"/>
        </w:tcBorders>
      </w:tcPr>
    </w:tblStylePr>
    <w:tblStylePr w:type="swCell">
      <w:tblPr/>
      <w:tcPr>
        <w:tcBorders>
          <w:top w:val="single" w:sz="4" w:space="0" w:color="5397D2" w:themeColor="accent1" w:themeTint="99"/>
        </w:tcBorders>
      </w:tcPr>
    </w:tblStylePr>
  </w:style>
  <w:style w:type="table" w:styleId="5-1">
    <w:name w:val="Grid Table 5 Dark Accent 1"/>
    <w:basedOn w:val="a3"/>
    <w:uiPriority w:val="50"/>
    <w:rsid w:val="00B428B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5DCF0"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F4F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F4F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F4F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F4F78" w:themeFill="accent1"/>
      </w:tcPr>
    </w:tblStylePr>
    <w:tblStylePr w:type="band1Vert">
      <w:tblPr/>
      <w:tcPr>
        <w:shd w:val="clear" w:color="auto" w:fill="8CBAE1" w:themeFill="accent1" w:themeFillTint="66"/>
      </w:tcPr>
    </w:tblStylePr>
    <w:tblStylePr w:type="band1Horz">
      <w:tblPr/>
      <w:tcPr>
        <w:shd w:val="clear" w:color="auto" w:fill="8CBAE1" w:themeFill="accent1" w:themeFillTint="66"/>
      </w:tcPr>
    </w:tblStylePr>
  </w:style>
  <w:style w:type="table" w:styleId="4-1">
    <w:name w:val="Grid Table 4 Accent 1"/>
    <w:basedOn w:val="a3"/>
    <w:uiPriority w:val="49"/>
    <w:rsid w:val="00B428B4"/>
    <w:pPr>
      <w:spacing w:after="0" w:line="240" w:lineRule="auto"/>
    </w:pPr>
    <w:tblPr>
      <w:tblStyleRowBandSize w:val="1"/>
      <w:tblStyleColBandSize w:val="1"/>
      <w:tblBorders>
        <w:top w:val="single" w:sz="4" w:space="0" w:color="5397D2" w:themeColor="accent1" w:themeTint="99"/>
        <w:left w:val="single" w:sz="4" w:space="0" w:color="5397D2" w:themeColor="accent1" w:themeTint="99"/>
        <w:bottom w:val="single" w:sz="4" w:space="0" w:color="5397D2" w:themeColor="accent1" w:themeTint="99"/>
        <w:right w:val="single" w:sz="4" w:space="0" w:color="5397D2" w:themeColor="accent1" w:themeTint="99"/>
        <w:insideH w:val="single" w:sz="4" w:space="0" w:color="5397D2" w:themeColor="accent1" w:themeTint="99"/>
        <w:insideV w:val="single" w:sz="4" w:space="0" w:color="5397D2" w:themeColor="accent1" w:themeTint="99"/>
      </w:tblBorders>
    </w:tblPr>
    <w:tblStylePr w:type="firstRow">
      <w:rPr>
        <w:b/>
        <w:bCs/>
        <w:color w:val="FFFFFF" w:themeColor="background1"/>
      </w:rPr>
      <w:tblPr/>
      <w:tcPr>
        <w:tcBorders>
          <w:top w:val="single" w:sz="4" w:space="0" w:color="1F4F78" w:themeColor="accent1"/>
          <w:left w:val="single" w:sz="4" w:space="0" w:color="1F4F78" w:themeColor="accent1"/>
          <w:bottom w:val="single" w:sz="4" w:space="0" w:color="1F4F78" w:themeColor="accent1"/>
          <w:right w:val="single" w:sz="4" w:space="0" w:color="1F4F78" w:themeColor="accent1"/>
          <w:insideH w:val="nil"/>
          <w:insideV w:val="nil"/>
        </w:tcBorders>
        <w:shd w:val="clear" w:color="auto" w:fill="1F4F78" w:themeFill="accent1"/>
      </w:tcPr>
    </w:tblStylePr>
    <w:tblStylePr w:type="lastRow">
      <w:rPr>
        <w:b/>
        <w:bCs/>
      </w:rPr>
      <w:tblPr/>
      <w:tcPr>
        <w:tcBorders>
          <w:top w:val="double" w:sz="4" w:space="0" w:color="1F4F78" w:themeColor="accent1"/>
        </w:tcBorders>
      </w:tcPr>
    </w:tblStylePr>
    <w:tblStylePr w:type="firstCol">
      <w:rPr>
        <w:b/>
        <w:bCs/>
      </w:rPr>
    </w:tblStylePr>
    <w:tblStylePr w:type="lastCol">
      <w:rPr>
        <w:b/>
        <w:bCs/>
      </w:rPr>
    </w:tblStylePr>
    <w:tblStylePr w:type="band1Vert">
      <w:tblPr/>
      <w:tcPr>
        <w:shd w:val="clear" w:color="auto" w:fill="C5DCF0" w:themeFill="accent1" w:themeFillTint="33"/>
      </w:tcPr>
    </w:tblStylePr>
    <w:tblStylePr w:type="band1Horz">
      <w:tblPr/>
      <w:tcPr>
        <w:shd w:val="clear" w:color="auto" w:fill="C5DCF0" w:themeFill="accent1" w:themeFillTint="33"/>
      </w:tcPr>
    </w:tblStylePr>
  </w:style>
  <w:style w:type="paragraph" w:customStyle="1" w:styleId="Body">
    <w:name w:val="Body"/>
    <w:rsid w:val="00720444"/>
    <w:pPr>
      <w:pBdr>
        <w:top w:val="nil"/>
        <w:left w:val="nil"/>
        <w:bottom w:val="nil"/>
        <w:right w:val="nil"/>
        <w:between w:val="nil"/>
        <w:bar w:val="nil"/>
      </w:pBdr>
      <w:spacing w:after="120" w:line="240" w:lineRule="auto"/>
      <w:jc w:val="both"/>
    </w:pPr>
    <w:rPr>
      <w:rFonts w:ascii="Tahoma" w:eastAsia="Tahoma" w:hAnsi="Tahoma" w:cs="Tahoma"/>
      <w:color w:val="000000"/>
      <w:sz w:val="20"/>
      <w:szCs w:val="20"/>
      <w:u w:color="000000"/>
      <w:bdr w:val="nil"/>
      <w14:textOutline w14:w="0" w14:cap="flat" w14:cmpd="sng" w14:algn="ctr">
        <w14:noFill/>
        <w14:prstDash w14:val="solid"/>
        <w14:bevel/>
      </w14:textOutline>
    </w:rPr>
  </w:style>
  <w:style w:type="numbering" w:customStyle="1" w:styleId="ImportedStyle6">
    <w:name w:val="Imported Style 6"/>
    <w:rsid w:val="000E50B6"/>
    <w:pPr>
      <w:numPr>
        <w:numId w:val="10"/>
      </w:numPr>
    </w:pPr>
  </w:style>
  <w:style w:type="numbering" w:customStyle="1" w:styleId="ImportedStyle4">
    <w:name w:val="Imported Style 4"/>
    <w:rsid w:val="00944487"/>
    <w:pPr>
      <w:numPr>
        <w:numId w:val="12"/>
      </w:numPr>
    </w:pPr>
  </w:style>
  <w:style w:type="paragraph" w:customStyle="1" w:styleId="TableStyle2">
    <w:name w:val="Table Style 2"/>
    <w:rsid w:val="00944487"/>
    <w:pPr>
      <w:pBdr>
        <w:top w:val="nil"/>
        <w:left w:val="nil"/>
        <w:bottom w:val="nil"/>
        <w:right w:val="nil"/>
        <w:between w:val="nil"/>
        <w:bar w:val="nil"/>
      </w:pBdr>
      <w:spacing w:after="0" w:line="240" w:lineRule="auto"/>
    </w:pPr>
    <w:rPr>
      <w:rFonts w:ascii="Times New Roman" w:eastAsia="Times New Roman" w:hAnsi="Times New Roman" w:cs="Times New Roman"/>
      <w:color w:val="000000"/>
      <w:bdr w:val="nil"/>
      <w:lang w:val="fr-BE" w:eastAsia="fr-BE"/>
      <w14:textOutline w14:w="0" w14:cap="flat" w14:cmpd="sng" w14:algn="ctr">
        <w14:noFill/>
        <w14:prstDash w14:val="solid"/>
        <w14:bevel/>
      </w14:textOutline>
    </w:rPr>
  </w:style>
  <w:style w:type="character" w:customStyle="1" w:styleId="Hyperlink0">
    <w:name w:val="Hyperlink.0"/>
    <w:basedOn w:val="-"/>
    <w:rsid w:val="0094314C"/>
    <w:rPr>
      <w:outline w:val="0"/>
      <w:color w:val="511C45"/>
      <w:u w:val="single" w:color="511C45"/>
    </w:rPr>
  </w:style>
  <w:style w:type="table" w:styleId="3-5">
    <w:name w:val="List Table 3 Accent 5"/>
    <w:basedOn w:val="a3"/>
    <w:uiPriority w:val="48"/>
    <w:rsid w:val="00BC631F"/>
    <w:pPr>
      <w:spacing w:after="0" w:line="240" w:lineRule="auto"/>
    </w:pPr>
    <w:tblPr>
      <w:tblStyleRowBandSize w:val="1"/>
      <w:tblStyleColBandSize w:val="1"/>
      <w:tblBorders>
        <w:top w:val="single" w:sz="4" w:space="0" w:color="95C11F" w:themeColor="accent5"/>
        <w:left w:val="single" w:sz="4" w:space="0" w:color="95C11F" w:themeColor="accent5"/>
        <w:bottom w:val="single" w:sz="4" w:space="0" w:color="95C11F" w:themeColor="accent5"/>
        <w:right w:val="single" w:sz="4" w:space="0" w:color="95C11F" w:themeColor="accent5"/>
      </w:tblBorders>
    </w:tblPr>
    <w:tblStylePr w:type="firstRow">
      <w:rPr>
        <w:b/>
        <w:bCs/>
        <w:color w:val="FFFFFF" w:themeColor="background1"/>
      </w:rPr>
      <w:tblPr/>
      <w:tcPr>
        <w:shd w:val="clear" w:color="auto" w:fill="95C11F" w:themeFill="accent5"/>
      </w:tcPr>
    </w:tblStylePr>
    <w:tblStylePr w:type="lastRow">
      <w:rPr>
        <w:b/>
        <w:bCs/>
      </w:rPr>
      <w:tblPr/>
      <w:tcPr>
        <w:tcBorders>
          <w:top w:val="double" w:sz="4" w:space="0" w:color="95C11F"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5C11F" w:themeColor="accent5"/>
          <w:right w:val="single" w:sz="4" w:space="0" w:color="95C11F" w:themeColor="accent5"/>
        </w:tcBorders>
      </w:tcPr>
    </w:tblStylePr>
    <w:tblStylePr w:type="band1Horz">
      <w:tblPr/>
      <w:tcPr>
        <w:tcBorders>
          <w:top w:val="single" w:sz="4" w:space="0" w:color="95C11F" w:themeColor="accent5"/>
          <w:bottom w:val="single" w:sz="4" w:space="0" w:color="95C11F"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5C11F" w:themeColor="accent5"/>
          <w:left w:val="nil"/>
        </w:tcBorders>
      </w:tcPr>
    </w:tblStylePr>
    <w:tblStylePr w:type="swCell">
      <w:tblPr/>
      <w:tcPr>
        <w:tcBorders>
          <w:top w:val="double" w:sz="4" w:space="0" w:color="95C11F" w:themeColor="accent5"/>
          <w:right w:val="nil"/>
        </w:tcBorders>
      </w:tcPr>
    </w:tblStylePr>
  </w:style>
  <w:style w:type="table" w:styleId="4-3">
    <w:name w:val="List Table 4 Accent 3"/>
    <w:basedOn w:val="a3"/>
    <w:uiPriority w:val="49"/>
    <w:rsid w:val="00691ABC"/>
    <w:pPr>
      <w:spacing w:after="0" w:line="240" w:lineRule="auto"/>
    </w:pPr>
    <w:tblPr>
      <w:tblStyleRowBandSize w:val="1"/>
      <w:tblStyleColBandSize w:val="1"/>
      <w:tblBorders>
        <w:top w:val="single" w:sz="4" w:space="0" w:color="AACF8D" w:themeColor="accent3" w:themeTint="99"/>
        <w:left w:val="single" w:sz="4" w:space="0" w:color="AACF8D" w:themeColor="accent3" w:themeTint="99"/>
        <w:bottom w:val="single" w:sz="4" w:space="0" w:color="AACF8D" w:themeColor="accent3" w:themeTint="99"/>
        <w:right w:val="single" w:sz="4" w:space="0" w:color="AACF8D" w:themeColor="accent3" w:themeTint="99"/>
        <w:insideH w:val="single" w:sz="4" w:space="0" w:color="AACF8D" w:themeColor="accent3" w:themeTint="99"/>
      </w:tblBorders>
    </w:tblPr>
    <w:tblStylePr w:type="firstRow">
      <w:rPr>
        <w:b/>
        <w:bCs/>
        <w:color w:val="FFFFFF" w:themeColor="background1"/>
      </w:rPr>
      <w:tblPr/>
      <w:tcPr>
        <w:tcBorders>
          <w:top w:val="single" w:sz="4" w:space="0" w:color="73AB47" w:themeColor="accent3"/>
          <w:left w:val="single" w:sz="4" w:space="0" w:color="73AB47" w:themeColor="accent3"/>
          <w:bottom w:val="single" w:sz="4" w:space="0" w:color="73AB47" w:themeColor="accent3"/>
          <w:right w:val="single" w:sz="4" w:space="0" w:color="73AB47" w:themeColor="accent3"/>
          <w:insideH w:val="nil"/>
        </w:tcBorders>
        <w:shd w:val="clear" w:color="auto" w:fill="73AB47" w:themeFill="accent3"/>
      </w:tcPr>
    </w:tblStylePr>
    <w:tblStylePr w:type="lastRow">
      <w:rPr>
        <w:b/>
        <w:bCs/>
      </w:rPr>
      <w:tblPr/>
      <w:tcPr>
        <w:tcBorders>
          <w:top w:val="double" w:sz="4" w:space="0" w:color="AACF8D" w:themeColor="accent3" w:themeTint="99"/>
        </w:tcBorders>
      </w:tcPr>
    </w:tblStylePr>
    <w:tblStylePr w:type="firstCol">
      <w:rPr>
        <w:b/>
        <w:bCs/>
      </w:rPr>
    </w:tblStylePr>
    <w:tblStylePr w:type="lastCol">
      <w:rPr>
        <w:b/>
        <w:bCs/>
      </w:rPr>
    </w:tblStylePr>
    <w:tblStylePr w:type="band1Vert">
      <w:tblPr/>
      <w:tcPr>
        <w:shd w:val="clear" w:color="auto" w:fill="E2EFD9" w:themeFill="accent3" w:themeFillTint="33"/>
      </w:tcPr>
    </w:tblStylePr>
    <w:tblStylePr w:type="band1Horz">
      <w:tblPr/>
      <w:tcPr>
        <w:shd w:val="clear" w:color="auto" w:fill="E2EFD9" w:themeFill="accent3" w:themeFillTint="33"/>
      </w:tcPr>
    </w:tblStylePr>
  </w:style>
  <w:style w:type="character" w:styleId="af1">
    <w:name w:val="annotation reference"/>
    <w:basedOn w:val="a2"/>
    <w:uiPriority w:val="99"/>
    <w:semiHidden/>
    <w:unhideWhenUsed/>
    <w:rsid w:val="00723407"/>
    <w:rPr>
      <w:sz w:val="16"/>
      <w:szCs w:val="16"/>
    </w:rPr>
  </w:style>
  <w:style w:type="paragraph" w:styleId="af2">
    <w:name w:val="annotation text"/>
    <w:basedOn w:val="a1"/>
    <w:link w:val="Char4"/>
    <w:uiPriority w:val="99"/>
    <w:unhideWhenUsed/>
    <w:rsid w:val="00723407"/>
    <w:pPr>
      <w:spacing w:line="240" w:lineRule="auto"/>
    </w:pPr>
    <w:rPr>
      <w:szCs w:val="20"/>
    </w:rPr>
  </w:style>
  <w:style w:type="character" w:customStyle="1" w:styleId="Char4">
    <w:name w:val="Κείμενο σχολίου Char"/>
    <w:basedOn w:val="a2"/>
    <w:link w:val="af2"/>
    <w:uiPriority w:val="99"/>
    <w:rsid w:val="00723407"/>
    <w:rPr>
      <w:sz w:val="20"/>
      <w:szCs w:val="20"/>
    </w:rPr>
  </w:style>
  <w:style w:type="paragraph" w:styleId="af3">
    <w:name w:val="annotation subject"/>
    <w:basedOn w:val="af2"/>
    <w:next w:val="af2"/>
    <w:link w:val="Char5"/>
    <w:uiPriority w:val="99"/>
    <w:semiHidden/>
    <w:unhideWhenUsed/>
    <w:rsid w:val="00723407"/>
    <w:rPr>
      <w:b/>
      <w:bCs/>
    </w:rPr>
  </w:style>
  <w:style w:type="character" w:customStyle="1" w:styleId="Char5">
    <w:name w:val="Θέμα σχολίου Char"/>
    <w:basedOn w:val="Char4"/>
    <w:link w:val="af3"/>
    <w:uiPriority w:val="99"/>
    <w:semiHidden/>
    <w:rsid w:val="00723407"/>
    <w:rPr>
      <w:b/>
      <w:bCs/>
      <w:sz w:val="20"/>
      <w:szCs w:val="20"/>
    </w:rPr>
  </w:style>
  <w:style w:type="paragraph" w:styleId="a">
    <w:name w:val="List Bullet"/>
    <w:aliases w:val="BULLET,*List Bullet,IPA Bullet,Char, Char, Знак,Знак,First Tier Bullet,résumé,UL,List Bullet2,List Bullet 1,List Bullet Char1 Char,List Bullet Char Char Char,List Bullet Char1 Char Char Char,rÈsumÈ,Char1"/>
    <w:basedOn w:val="af4"/>
    <w:uiPriority w:val="4"/>
    <w:rsid w:val="00666EB7"/>
    <w:pPr>
      <w:numPr>
        <w:numId w:val="14"/>
      </w:numPr>
      <w:tabs>
        <w:tab w:val="clear" w:pos="425"/>
        <w:tab w:val="num" w:pos="360"/>
      </w:tabs>
      <w:spacing w:after="280" w:line="280" w:lineRule="atLeast"/>
      <w:ind w:left="0" w:firstLine="0"/>
      <w:jc w:val="left"/>
    </w:pPr>
    <w:rPr>
      <w:rFonts w:ascii="Verdana" w:eastAsia="Times New Roman" w:hAnsi="Verdana" w:cs="Arial"/>
      <w:sz w:val="18"/>
      <w:szCs w:val="20"/>
      <w:lang w:val="en-GB" w:eastAsia="da-DK"/>
    </w:rPr>
  </w:style>
  <w:style w:type="paragraph" w:styleId="2">
    <w:name w:val="List Bullet 2"/>
    <w:aliases w:val="СТАТПеречень"/>
    <w:basedOn w:val="a"/>
    <w:uiPriority w:val="4"/>
    <w:rsid w:val="00666EB7"/>
    <w:pPr>
      <w:numPr>
        <w:ilvl w:val="1"/>
      </w:numPr>
      <w:tabs>
        <w:tab w:val="clear" w:pos="851"/>
        <w:tab w:val="num" w:pos="360"/>
      </w:tabs>
    </w:pPr>
  </w:style>
  <w:style w:type="paragraph" w:styleId="3">
    <w:name w:val="List Bullet 3"/>
    <w:basedOn w:val="2"/>
    <w:uiPriority w:val="4"/>
    <w:rsid w:val="00666EB7"/>
    <w:pPr>
      <w:numPr>
        <w:ilvl w:val="2"/>
      </w:numPr>
      <w:tabs>
        <w:tab w:val="num" w:pos="360"/>
        <w:tab w:val="left" w:pos="1276"/>
      </w:tabs>
    </w:pPr>
  </w:style>
  <w:style w:type="paragraph" w:styleId="4">
    <w:name w:val="List Bullet 4"/>
    <w:basedOn w:val="a1"/>
    <w:uiPriority w:val="4"/>
    <w:unhideWhenUsed/>
    <w:rsid w:val="00666EB7"/>
    <w:pPr>
      <w:numPr>
        <w:ilvl w:val="3"/>
        <w:numId w:val="14"/>
      </w:numPr>
      <w:spacing w:after="0" w:line="270" w:lineRule="atLeast"/>
      <w:jc w:val="left"/>
    </w:pPr>
    <w:rPr>
      <w:rFonts w:ascii="Verdana" w:eastAsia="Times New Roman" w:hAnsi="Verdana" w:cs="Arial"/>
      <w:sz w:val="18"/>
      <w:szCs w:val="20"/>
      <w:lang w:val="en-GB" w:eastAsia="da-DK"/>
    </w:rPr>
  </w:style>
  <w:style w:type="character" w:customStyle="1" w:styleId="CowiOrange">
    <w:name w:val="CowiOrange"/>
    <w:basedOn w:val="a2"/>
    <w:uiPriority w:val="1"/>
    <w:rsid w:val="00666EB7"/>
    <w:rPr>
      <w:color w:val="F04E23"/>
    </w:rPr>
  </w:style>
  <w:style w:type="numbering" w:customStyle="1" w:styleId="CowiBulletList">
    <w:name w:val="CowiBulletList"/>
    <w:basedOn w:val="a4"/>
    <w:rsid w:val="00666EB7"/>
    <w:pPr>
      <w:numPr>
        <w:numId w:val="14"/>
      </w:numPr>
    </w:pPr>
  </w:style>
  <w:style w:type="paragraph" w:styleId="af4">
    <w:name w:val="Body Text"/>
    <w:basedOn w:val="a1"/>
    <w:link w:val="Char6"/>
    <w:uiPriority w:val="99"/>
    <w:semiHidden/>
    <w:unhideWhenUsed/>
    <w:rsid w:val="00666EB7"/>
    <w:pPr>
      <w:spacing w:after="120"/>
    </w:pPr>
  </w:style>
  <w:style w:type="character" w:customStyle="1" w:styleId="Char6">
    <w:name w:val="Σώμα κειμένου Char"/>
    <w:basedOn w:val="a2"/>
    <w:link w:val="af4"/>
    <w:uiPriority w:val="99"/>
    <w:semiHidden/>
    <w:rsid w:val="00666EB7"/>
    <w:rPr>
      <w:sz w:val="20"/>
    </w:rPr>
  </w:style>
  <w:style w:type="table" w:styleId="4-30">
    <w:name w:val="Grid Table 4 Accent 3"/>
    <w:basedOn w:val="a3"/>
    <w:uiPriority w:val="49"/>
    <w:rsid w:val="009E3E23"/>
    <w:pPr>
      <w:spacing w:after="0" w:line="240" w:lineRule="auto"/>
    </w:pPr>
    <w:tblPr>
      <w:tblStyleRowBandSize w:val="1"/>
      <w:tblStyleColBandSize w:val="1"/>
      <w:tblBorders>
        <w:top w:val="single" w:sz="4" w:space="0" w:color="AACF8D" w:themeColor="accent3" w:themeTint="99"/>
        <w:left w:val="single" w:sz="4" w:space="0" w:color="AACF8D" w:themeColor="accent3" w:themeTint="99"/>
        <w:bottom w:val="single" w:sz="4" w:space="0" w:color="AACF8D" w:themeColor="accent3" w:themeTint="99"/>
        <w:right w:val="single" w:sz="4" w:space="0" w:color="AACF8D" w:themeColor="accent3" w:themeTint="99"/>
        <w:insideH w:val="single" w:sz="4" w:space="0" w:color="AACF8D" w:themeColor="accent3" w:themeTint="99"/>
        <w:insideV w:val="single" w:sz="4" w:space="0" w:color="AACF8D" w:themeColor="accent3" w:themeTint="99"/>
      </w:tblBorders>
    </w:tblPr>
    <w:tblStylePr w:type="firstRow">
      <w:rPr>
        <w:b/>
        <w:bCs/>
        <w:color w:val="FFFFFF" w:themeColor="background1"/>
      </w:rPr>
      <w:tblPr/>
      <w:tcPr>
        <w:tcBorders>
          <w:top w:val="single" w:sz="4" w:space="0" w:color="73AB47" w:themeColor="accent3"/>
          <w:left w:val="single" w:sz="4" w:space="0" w:color="73AB47" w:themeColor="accent3"/>
          <w:bottom w:val="single" w:sz="4" w:space="0" w:color="73AB47" w:themeColor="accent3"/>
          <w:right w:val="single" w:sz="4" w:space="0" w:color="73AB47" w:themeColor="accent3"/>
          <w:insideH w:val="nil"/>
          <w:insideV w:val="nil"/>
        </w:tcBorders>
        <w:shd w:val="clear" w:color="auto" w:fill="73AB47" w:themeFill="accent3"/>
      </w:tcPr>
    </w:tblStylePr>
    <w:tblStylePr w:type="lastRow">
      <w:rPr>
        <w:b/>
        <w:bCs/>
      </w:rPr>
      <w:tblPr/>
      <w:tcPr>
        <w:tcBorders>
          <w:top w:val="double" w:sz="4" w:space="0" w:color="73AB47" w:themeColor="accent3"/>
        </w:tcBorders>
      </w:tcPr>
    </w:tblStylePr>
    <w:tblStylePr w:type="firstCol">
      <w:rPr>
        <w:b/>
        <w:bCs/>
      </w:rPr>
    </w:tblStylePr>
    <w:tblStylePr w:type="lastCol">
      <w:rPr>
        <w:b/>
        <w:bCs/>
      </w:rPr>
    </w:tblStylePr>
    <w:tblStylePr w:type="band1Vert">
      <w:tblPr/>
      <w:tcPr>
        <w:shd w:val="clear" w:color="auto" w:fill="E2EFD9" w:themeFill="accent3" w:themeFillTint="33"/>
      </w:tcPr>
    </w:tblStylePr>
    <w:tblStylePr w:type="band1Horz">
      <w:tblPr/>
      <w:tcPr>
        <w:shd w:val="clear" w:color="auto" w:fill="E2EFD9" w:themeFill="accent3" w:themeFillTint="33"/>
      </w:tcPr>
    </w:tblStylePr>
  </w:style>
  <w:style w:type="paragraph" w:styleId="af5">
    <w:name w:val="footnote text"/>
    <w:basedOn w:val="a1"/>
    <w:link w:val="Char7"/>
    <w:uiPriority w:val="99"/>
    <w:semiHidden/>
    <w:unhideWhenUsed/>
    <w:rsid w:val="00FD6E06"/>
    <w:pPr>
      <w:spacing w:after="0" w:line="240" w:lineRule="auto"/>
    </w:pPr>
    <w:rPr>
      <w:rFonts w:ascii="Arial Narrow" w:hAnsi="Arial Narrow"/>
      <w:kern w:val="2"/>
      <w:szCs w:val="20"/>
      <w14:ligatures w14:val="standardContextual"/>
    </w:rPr>
  </w:style>
  <w:style w:type="character" w:customStyle="1" w:styleId="Char7">
    <w:name w:val="Κείμενο υποσημείωσης Char"/>
    <w:basedOn w:val="a2"/>
    <w:link w:val="af5"/>
    <w:uiPriority w:val="99"/>
    <w:semiHidden/>
    <w:rsid w:val="00FD6E06"/>
    <w:rPr>
      <w:rFonts w:ascii="Arial Narrow" w:hAnsi="Arial Narrow"/>
      <w:kern w:val="2"/>
      <w:sz w:val="20"/>
      <w:szCs w:val="20"/>
      <w:lang w:val="el-GR"/>
      <w14:ligatures w14:val="standardContextual"/>
    </w:rPr>
  </w:style>
  <w:style w:type="character" w:styleId="af6">
    <w:name w:val="footnote reference"/>
    <w:basedOn w:val="a2"/>
    <w:uiPriority w:val="99"/>
    <w:semiHidden/>
    <w:unhideWhenUsed/>
    <w:rsid w:val="00FD6E06"/>
    <w:rPr>
      <w:vertAlign w:val="superscript"/>
    </w:rPr>
  </w:style>
  <w:style w:type="table" w:styleId="4-6">
    <w:name w:val="Grid Table 4 Accent 6"/>
    <w:basedOn w:val="a3"/>
    <w:uiPriority w:val="49"/>
    <w:rsid w:val="00FD6E06"/>
    <w:pPr>
      <w:spacing w:after="0" w:line="240" w:lineRule="auto"/>
    </w:pPr>
    <w:rPr>
      <w:kern w:val="2"/>
      <w:lang w:val="el-GR"/>
      <w14:ligatures w14:val="standardContextual"/>
    </w:rPr>
    <w:tblPr>
      <w:tblStyleRowBandSize w:val="1"/>
      <w:tblStyleColBandSize w:val="1"/>
      <w:tblBorders>
        <w:top w:val="single" w:sz="4" w:space="0" w:color="DEF555" w:themeColor="accent6" w:themeTint="99"/>
        <w:left w:val="single" w:sz="4" w:space="0" w:color="DEF555" w:themeColor="accent6" w:themeTint="99"/>
        <w:bottom w:val="single" w:sz="4" w:space="0" w:color="DEF555" w:themeColor="accent6" w:themeTint="99"/>
        <w:right w:val="single" w:sz="4" w:space="0" w:color="DEF555" w:themeColor="accent6" w:themeTint="99"/>
        <w:insideH w:val="single" w:sz="4" w:space="0" w:color="DEF555" w:themeColor="accent6" w:themeTint="99"/>
        <w:insideV w:val="single" w:sz="4" w:space="0" w:color="DEF555" w:themeColor="accent6" w:themeTint="99"/>
      </w:tblBorders>
    </w:tblPr>
    <w:tblStylePr w:type="firstRow">
      <w:rPr>
        <w:b/>
        <w:bCs/>
        <w:color w:val="FFFFFF" w:themeColor="background1"/>
      </w:rPr>
      <w:tblPr/>
      <w:tcPr>
        <w:tcBorders>
          <w:top w:val="single" w:sz="4" w:space="0" w:color="AFCA0B" w:themeColor="accent6"/>
          <w:left w:val="single" w:sz="4" w:space="0" w:color="AFCA0B" w:themeColor="accent6"/>
          <w:bottom w:val="single" w:sz="4" w:space="0" w:color="AFCA0B" w:themeColor="accent6"/>
          <w:right w:val="single" w:sz="4" w:space="0" w:color="AFCA0B" w:themeColor="accent6"/>
          <w:insideH w:val="nil"/>
          <w:insideV w:val="nil"/>
        </w:tcBorders>
        <w:shd w:val="clear" w:color="auto" w:fill="AFCA0B" w:themeFill="accent6"/>
      </w:tcPr>
    </w:tblStylePr>
    <w:tblStylePr w:type="lastRow">
      <w:rPr>
        <w:b/>
        <w:bCs/>
      </w:rPr>
      <w:tblPr/>
      <w:tcPr>
        <w:tcBorders>
          <w:top w:val="double" w:sz="4" w:space="0" w:color="AFCA0B" w:themeColor="accent6"/>
        </w:tcBorders>
      </w:tcPr>
    </w:tblStylePr>
    <w:tblStylePr w:type="firstCol">
      <w:rPr>
        <w:b/>
        <w:bCs/>
      </w:rPr>
    </w:tblStylePr>
    <w:tblStylePr w:type="lastCol">
      <w:rPr>
        <w:b/>
        <w:bCs/>
      </w:rPr>
    </w:tblStylePr>
    <w:tblStylePr w:type="band1Vert">
      <w:tblPr/>
      <w:tcPr>
        <w:shd w:val="clear" w:color="auto" w:fill="F4FCC6" w:themeFill="accent6" w:themeFillTint="33"/>
      </w:tcPr>
    </w:tblStylePr>
    <w:tblStylePr w:type="band1Horz">
      <w:tblPr/>
      <w:tcPr>
        <w:shd w:val="clear" w:color="auto" w:fill="F4FCC6" w:themeFill="accent6" w:themeFillTint="33"/>
      </w:tcPr>
    </w:tblStylePr>
  </w:style>
  <w:style w:type="character" w:styleId="af7">
    <w:name w:val="Unresolved Mention"/>
    <w:basedOn w:val="a2"/>
    <w:uiPriority w:val="99"/>
    <w:semiHidden/>
    <w:unhideWhenUsed/>
    <w:rsid w:val="004641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3941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learning.interact-eu.net/course/scos-explained" TargetMode="External"/><Relationship Id="rId2" Type="http://schemas.openxmlformats.org/officeDocument/2006/relationships/customXml" Target="../customXml/item2.xml"/><Relationship Id="rId16" Type="http://schemas.openxmlformats.org/officeDocument/2006/relationships/hyperlink" Target="http://www.interact-eu.net/search/node/simplified%20cost%20option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eur-lex.europa.eu/legal-content/EN/TXT/PDF/?uri=CELEX:52021XC0527(02)"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c.europa.eu/regional_policy/policy/how/improving-investment/simplified-cost-options_e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C4T_colours">
      <a:dk1>
        <a:srgbClr val="000000"/>
      </a:dk1>
      <a:lt1>
        <a:srgbClr val="FFFFFF"/>
      </a:lt1>
      <a:dk2>
        <a:srgbClr val="44546A"/>
      </a:dk2>
      <a:lt2>
        <a:srgbClr val="E7E6E6"/>
      </a:lt2>
      <a:accent1>
        <a:srgbClr val="1F4F78"/>
      </a:accent1>
      <a:accent2>
        <a:srgbClr val="ED7D30"/>
      </a:accent2>
      <a:accent3>
        <a:srgbClr val="73AB47"/>
      </a:accent3>
      <a:accent4>
        <a:srgbClr val="2481C3"/>
      </a:accent4>
      <a:accent5>
        <a:srgbClr val="95C11F"/>
      </a:accent5>
      <a:accent6>
        <a:srgbClr val="AFCA0B"/>
      </a:accent6>
      <a:hlink>
        <a:srgbClr val="3EA3DC"/>
      </a:hlink>
      <a:folHlink>
        <a:srgbClr val="00A870"/>
      </a:folHlink>
    </a:clrScheme>
    <a:fontScheme name="C4T_ECsquare">
      <a:majorFont>
        <a:latin typeface="EC Square Sans Pro Light"/>
        <a:ea typeface=""/>
        <a:cs typeface=""/>
      </a:majorFont>
      <a:minorFont>
        <a:latin typeface="EC Square Sans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CC512049C2D674CA69FD744AE64C86D" ma:contentTypeVersion="4" ma:contentTypeDescription="Create a new document." ma:contentTypeScope="" ma:versionID="583304e3b3776792f6464fce997782d8">
  <xsd:schema xmlns:xsd="http://www.w3.org/2001/XMLSchema" xmlns:xs="http://www.w3.org/2001/XMLSchema" xmlns:p="http://schemas.microsoft.com/office/2006/metadata/properties" xmlns:ns2="5d8f5743-08cd-4754-9d86-0dc50d88442c" targetNamespace="http://schemas.microsoft.com/office/2006/metadata/properties" ma:root="true" ma:fieldsID="237938c12d4fc09fc0da7e734aa078b6" ns2:_="">
    <xsd:import namespace="5d8f5743-08cd-4754-9d86-0dc50d88442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8f5743-08cd-4754-9d86-0dc50d8844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E1E2D1A-5FC4-4059-8ACB-52C04B8AF6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8f5743-08cd-4754-9d86-0dc50d8844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115E8A8-B0A3-4D0D-80F4-20D7D3F22D3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7C0A952-AFE4-411D-A9F8-C63BB0BDD829}">
  <ds:schemaRefs>
    <ds:schemaRef ds:uri="http://schemas.openxmlformats.org/officeDocument/2006/bibliography"/>
  </ds:schemaRefs>
</ds:datastoreItem>
</file>

<file path=customXml/itemProps4.xml><?xml version="1.0" encoding="utf-8"?>
<ds:datastoreItem xmlns:ds="http://schemas.openxmlformats.org/officeDocument/2006/customXml" ds:itemID="{81F53A07-B0EC-43DD-967A-9FFB6B60E12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2190</Words>
  <Characters>11829</Characters>
  <Application>Microsoft Office Word</Application>
  <DocSecurity>0</DocSecurity>
  <Lines>98</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Water Projects based on Holistic Approach: ToC and Templates for the State-of-the-Art Analysis (Part A)</vt:lpstr>
      <vt:lpstr/>
    </vt:vector>
  </TitlesOfParts>
  <Company/>
  <LinksUpToDate>false</LinksUpToDate>
  <CharactersWithSpaces>13992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Water Projects based on Holistic Approach: Guidance on Simplified Cost Options</dc:title>
  <dc:subject>July 31</dc:subject>
  <dc:creator>Cochaux, Caroline</dc:creator>
  <cp:keywords/>
  <dc:description/>
  <cp:lastModifiedBy>Konstantinos TOLIDIS</cp:lastModifiedBy>
  <cp:revision>9</cp:revision>
  <cp:lastPrinted>2023-02-22T13:58:00Z</cp:lastPrinted>
  <dcterms:created xsi:type="dcterms:W3CDTF">2024-07-29T13:18:00Z</dcterms:created>
  <dcterms:modified xsi:type="dcterms:W3CDTF">2024-07-30T22:04:00Z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0x0101008CC512049C2D674CA69FD744AE64C86D</vt:lpwstr>
  </property>
  <property fmtid="{D5CDD505-2E9C-101B-9397-08002B2CF9AE}" pid="3" name="MediaServiceImageTags">
    <vt:lpwstr/>
  </property>
</Properties>
</file>